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205" w:right="1440" w:bottom="927" w:gutter="0" w:footer="0" w:header="0"/>
        </w:sectPr>
      </w:pPr>
    </w:p>
    <w:p>
      <w:pPr>
        <w:spacing w:after="0" w:line="200" w:lineRule="exact"/>
        <w:rPr>
          <w:sz w:val="24"/>
          <w:szCs w:val="24"/>
          <w:color w:val="auto"/>
        </w:rPr>
      </w:pPr>
    </w:p>
    <w:p>
      <w:pPr>
        <w:spacing w:after="0" w:line="282" w:lineRule="exact"/>
        <w:rPr>
          <w:sz w:val="24"/>
          <w:szCs w:val="24"/>
          <w:color w:val="auto"/>
        </w:rPr>
      </w:pPr>
    </w:p>
    <w:tbl>
      <w:tblPr>
        <w:tblLayout w:type="fixed"/>
        <w:tblInd w:w="855" w:type="dxa"/>
        <w:tblCellMar>
          <w:top w:w="0" w:type="dxa"/>
          <w:left w:w="0" w:type="dxa"/>
          <w:bottom w:w="0" w:type="dxa"/>
          <w:right w:w="0" w:type="dxa"/>
        </w:tblCellMar>
      </w:tblPr>
      <w:tr>
        <w:trPr>
          <w:trHeight w:val="1268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C0014"/>
              </w:rPr>
              <w:t>The information in this prospectus supplement is not complete and may be changed. This prospectus supplement and the accompanying</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268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C0014"/>
              </w:rPr>
              <w:t>base prospectus are part of an effective registration statement filed with the Securities and Exchange Commission. This prospectus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268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C0014"/>
              </w:rPr>
              <w:t>supplement and the accompanying base prospectus are not an offer to sell the securities described herein and we are not soliciting an offer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 Filed pursuant to Rule 424(b)(7)​</w:t>
      </w:r>
    </w:p>
    <w:p>
      <w:pPr>
        <w:ind w:left="5340"/>
        <w:spacing w:after="0"/>
        <w:rPr>
          <w:sz w:val="20"/>
          <w:szCs w:val="20"/>
          <w:color w:val="auto"/>
        </w:rPr>
      </w:pPr>
      <w:r>
        <w:rPr>
          <w:rFonts w:ascii="Arial" w:cs="Arial" w:eastAsia="Arial" w:hAnsi="Arial"/>
          <w:sz w:val="18"/>
          <w:szCs w:val="18"/>
          <w:b w:val="1"/>
          <w:bCs w:val="1"/>
          <w:color w:val="auto"/>
        </w:rPr>
        <w:t> Registration Number 333-260905​</w:t>
      </w:r>
    </w:p>
    <w:p>
      <w:pPr>
        <w:spacing w:after="0" w:line="175" w:lineRule="exact"/>
        <w:rPr>
          <w:sz w:val="24"/>
          <w:szCs w:val="24"/>
          <w:color w:val="auto"/>
        </w:rPr>
      </w:pPr>
    </w:p>
    <w:p>
      <w:pPr>
        <w:ind w:left="60"/>
        <w:spacing w:after="0"/>
        <w:rPr>
          <w:sz w:val="20"/>
          <w:szCs w:val="20"/>
          <w:color w:val="auto"/>
        </w:rPr>
      </w:pPr>
      <w:r>
        <w:rPr>
          <w:rFonts w:ascii="Arial" w:cs="Arial" w:eastAsia="Arial" w:hAnsi="Arial"/>
          <w:sz w:val="20"/>
          <w:szCs w:val="20"/>
          <w:b w:val="1"/>
          <w:bCs w:val="1"/>
          <w:color w:val="FC0014"/>
        </w:rPr>
        <w:t>SUBJECT TO COMPLETION, DATED OCTOBER 29, 2024</w:t>
      </w:r>
    </w:p>
    <w:p>
      <w:pPr>
        <w:spacing w:after="0" w:line="181" w:lineRule="exact"/>
        <w:rPr>
          <w:sz w:val="24"/>
          <w:szCs w:val="24"/>
          <w:color w:val="auto"/>
        </w:rPr>
      </w:pPr>
    </w:p>
    <w:p>
      <w:pPr>
        <w:ind w:left="60"/>
        <w:spacing w:after="0"/>
        <w:rPr>
          <w:sz w:val="20"/>
          <w:szCs w:val="20"/>
          <w:color w:val="auto"/>
        </w:rPr>
      </w:pPr>
      <w:r>
        <w:rPr>
          <w:rFonts w:ascii="Arial" w:cs="Arial" w:eastAsia="Arial" w:hAnsi="Arial"/>
          <w:sz w:val="20"/>
          <w:szCs w:val="20"/>
          <w:b w:val="1"/>
          <w:bCs w:val="1"/>
          <w:color w:val="auto"/>
        </w:rPr>
        <w:t>PROSPECTUS SUPPLEMENT</w:t>
      </w:r>
    </w:p>
    <w:p>
      <w:pPr>
        <w:ind w:left="60"/>
        <w:spacing w:after="0"/>
        <w:rPr>
          <w:sz w:val="20"/>
          <w:szCs w:val="20"/>
          <w:color w:val="auto"/>
        </w:rPr>
      </w:pPr>
      <w:r>
        <w:rPr>
          <w:rFonts w:ascii="Arial" w:cs="Arial" w:eastAsia="Arial" w:hAnsi="Arial"/>
          <w:sz w:val="20"/>
          <w:szCs w:val="20"/>
          <w:b w:val="1"/>
          <w:bCs w:val="1"/>
          <w:color w:val="auto"/>
        </w:rPr>
        <w:t>(To Prospectus dated November 9, 2021)</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8,000,000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109855</wp:posOffset>
            </wp:positionV>
            <wp:extent cx="1619885" cy="1106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1106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60"/>
        <w:spacing w:after="0"/>
        <w:rPr>
          <w:sz w:val="20"/>
          <w:szCs w:val="20"/>
          <w:color w:val="auto"/>
        </w:rPr>
      </w:pPr>
      <w:r>
        <w:rPr>
          <w:rFonts w:ascii="Arial" w:cs="Arial" w:eastAsia="Arial" w:hAnsi="Arial"/>
          <w:sz w:val="32"/>
          <w:szCs w:val="32"/>
          <w:b w:val="1"/>
          <w:bCs w:val="1"/>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125730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both"/>
        <w:ind w:left="60" w:right="279"/>
        <w:spacing w:after="0" w:line="265" w:lineRule="auto"/>
        <w:rPr>
          <w:sz w:val="20"/>
          <w:szCs w:val="20"/>
          <w:color w:val="auto"/>
        </w:rPr>
      </w:pPr>
      <w:r>
        <w:rPr>
          <w:rFonts w:ascii="Arial" w:cs="Arial" w:eastAsia="Arial" w:hAnsi="Arial"/>
          <w:sz w:val="18"/>
          <w:szCs w:val="18"/>
          <w:color w:val="auto"/>
        </w:rPr>
        <w:t>The selling shareholders identified in this prospectus supplement are selling up to an aggregate of 8,000,000 shares of Harmony Biosciences Holdings, Inc. (the “Company,” “we,” “our” or “us”)</w:t>
      </w:r>
    </w:p>
    <w:p>
      <w:pPr>
        <w:spacing w:after="0" w:line="1" w:lineRule="exact"/>
        <w:rPr>
          <w:sz w:val="24"/>
          <w:szCs w:val="24"/>
          <w:color w:val="auto"/>
        </w:rPr>
      </w:pPr>
    </w:p>
    <w:p>
      <w:pPr>
        <w:ind w:left="60" w:right="539" w:hanging="89"/>
        <w:spacing w:after="0" w:line="287" w:lineRule="auto"/>
        <w:rPr>
          <w:sz w:val="20"/>
          <w:szCs w:val="20"/>
          <w:color w:val="auto"/>
        </w:rPr>
      </w:pPr>
      <w:r>
        <w:rPr>
          <w:rFonts w:ascii="Arial" w:cs="Arial" w:eastAsia="Arial" w:hAnsi="Arial"/>
          <w:sz w:val="18"/>
          <w:szCs w:val="18"/>
          <w:b w:val="1"/>
          <w:bCs w:val="1"/>
          <w:color w:val="FC0014"/>
        </w:rPr>
        <w:t>permitted.</w:t>
      </w:r>
      <w:r>
        <w:rPr>
          <w:sz w:val="20"/>
          <w:szCs w:val="20"/>
          <w:color w:val="auto"/>
        </w:rPr>
        <w:t xml:space="preserve"> </w:t>
      </w:r>
      <w:r>
        <w:rPr>
          <w:rFonts w:ascii="Arial" w:cs="Arial" w:eastAsia="Arial" w:hAnsi="Arial"/>
          <w:sz w:val="18"/>
          <w:szCs w:val="18"/>
          <w:color w:val="auto"/>
        </w:rPr>
        <w:t>common stock, par value $0.00001 per share (the “Common Stock”). We will not receive any proceeds from the sale of the Common Stock in this offering.</w:t>
      </w:r>
    </w:p>
    <w:p>
      <w:pPr>
        <w:jc w:val="center"/>
        <w:ind w:right="39"/>
        <w:spacing w:after="0"/>
        <w:rPr>
          <w:sz w:val="20"/>
          <w:szCs w:val="20"/>
          <w:color w:val="auto"/>
        </w:rPr>
      </w:pPr>
      <w:r>
        <w:rPr>
          <w:rFonts w:ascii="Arial" w:cs="Arial" w:eastAsia="Arial" w:hAnsi="Arial"/>
          <w:sz w:val="18"/>
          <w:szCs w:val="18"/>
          <w:color w:val="auto"/>
        </w:rPr>
        <w:t>The Common Stock is traded on the Nasdaq Global Market (“Nasdaq”) under the symbol “HRMY.”</w:t>
      </w: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8260" w:type="dxa"/>
            <w:vAlign w:val="bottom"/>
            <w:gridSpan w:val="8"/>
          </w:tcPr>
          <w:p>
            <w:pPr>
              <w:spacing w:after="0" w:line="185" w:lineRule="exact"/>
              <w:rPr>
                <w:sz w:val="20"/>
                <w:szCs w:val="20"/>
                <w:color w:val="auto"/>
              </w:rPr>
            </w:pPr>
            <w:r>
              <w:rPr>
                <w:rFonts w:ascii="Arial" w:cs="Arial" w:eastAsia="Arial" w:hAnsi="Arial"/>
                <w:sz w:val="18"/>
                <w:szCs w:val="18"/>
                <w:color w:val="auto"/>
              </w:rPr>
              <w:t>The last reported sales price of our Common Stock on Nasdaq on October 28, 2024 was $35.75</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18"/>
                <w:szCs w:val="18"/>
                <w:b w:val="1"/>
                <w:bCs w:val="1"/>
                <w:color w:val="FC0014"/>
              </w:rPr>
              <w:t>not</w:t>
            </w:r>
            <w:r>
              <w:rPr>
                <w:rFonts w:ascii="Arial" w:cs="Arial" w:eastAsia="Arial" w:hAnsi="Arial"/>
                <w:sz w:val="18"/>
                <w:szCs w:val="18"/>
                <w:color w:val="auto"/>
              </w:rPr>
              <w:t>per share.</w:t>
            </w: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500" w:type="dxa"/>
            <w:vAlign w:val="bottom"/>
            <w:gridSpan w:val="2"/>
            <w:textDirection w:val="btLr"/>
          </w:tcPr>
          <w:p>
            <w:pPr>
              <w:ind w:left="31"/>
              <w:spacing w:after="0"/>
              <w:rPr>
                <w:sz w:val="20"/>
                <w:szCs w:val="20"/>
                <w:color w:val="auto"/>
              </w:rPr>
            </w:pPr>
            <w:r>
              <w:rPr>
                <w:rFonts w:ascii="Arial" w:cs="Arial" w:eastAsia="Arial" w:hAnsi="Arial"/>
                <w:sz w:val="18"/>
                <w:szCs w:val="18"/>
                <w:b w:val="1"/>
                <w:bCs w:val="1"/>
                <w:color w:val="FC0014"/>
              </w:rPr>
              <w:t>is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8260" w:type="dxa"/>
            <w:vAlign w:val="bottom"/>
            <w:gridSpan w:val="8"/>
          </w:tcPr>
          <w:p>
            <w:pPr>
              <w:spacing w:after="0" w:line="128" w:lineRule="exact"/>
              <w:rPr>
                <w:sz w:val="20"/>
                <w:szCs w:val="20"/>
                <w:color w:val="auto"/>
              </w:rPr>
            </w:pPr>
            <w:r>
              <w:rPr>
                <w:rFonts w:ascii="Arial" w:cs="Arial" w:eastAsia="Arial" w:hAnsi="Arial"/>
                <w:sz w:val="13"/>
                <w:szCs w:val="13"/>
                <w:b w:val="1"/>
                <w:bCs w:val="1"/>
                <w:color w:val="auto"/>
              </w:rPr>
              <w:t xml:space="preserve">Investing in our securities involves risk. See “Risk Factors” beginning on page </w:t>
            </w:r>
            <w:r>
              <w:rPr>
                <w:rFonts w:ascii="Arial" w:cs="Arial" w:eastAsia="Arial" w:hAnsi="Arial"/>
                <w:sz w:val="13"/>
                <w:szCs w:val="13"/>
                <w:b w:val="1"/>
                <w:bCs w:val="1"/>
                <w:color w:val="0000EE"/>
              </w:rPr>
              <w:t>S-7</w:t>
            </w:r>
            <w:r>
              <w:rPr>
                <w:rFonts w:ascii="Arial" w:cs="Arial" w:eastAsia="Arial" w:hAnsi="Arial"/>
                <w:sz w:val="13"/>
                <w:szCs w:val="13"/>
                <w:b w:val="1"/>
                <w:bCs w:val="1"/>
                <w:color w:val="auto"/>
              </w:rPr>
              <w:t xml:space="preserve"> of this</w:t>
            </w:r>
          </w:p>
        </w:tc>
        <w:tc>
          <w:tcPr>
            <w:tcW w:w="0" w:type="dxa"/>
            <w:vAlign w:val="bottom"/>
          </w:tcPr>
          <w:p>
            <w:pPr>
              <w:spacing w:after="0"/>
              <w:rPr>
                <w:sz w:val="1"/>
                <w:szCs w:val="1"/>
                <w:color w:val="auto"/>
              </w:rPr>
            </w:pPr>
          </w:p>
        </w:tc>
      </w:tr>
      <w:tr>
        <w:trPr>
          <w:trHeight w:val="20"/>
        </w:trPr>
        <w:tc>
          <w:tcPr>
            <w:tcW w:w="7220" w:type="dxa"/>
            <w:vAlign w:val="bottom"/>
            <w:gridSpan w:val="5"/>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320" w:type="dxa"/>
            <w:vAlign w:val="bottom"/>
            <w:gridSpan w:val="9"/>
          </w:tcPr>
          <w:p>
            <w:pPr>
              <w:spacing w:after="0"/>
              <w:rPr>
                <w:sz w:val="20"/>
                <w:szCs w:val="20"/>
                <w:color w:val="auto"/>
              </w:rPr>
            </w:pPr>
            <w:r>
              <w:rPr>
                <w:rFonts w:ascii="Arial" w:cs="Arial" w:eastAsia="Arial" w:hAnsi="Arial"/>
                <w:sz w:val="18"/>
                <w:szCs w:val="18"/>
                <w:b w:val="1"/>
                <w:bCs w:val="1"/>
                <w:color w:val="FC0014"/>
              </w:rPr>
              <w:t>sale</w:t>
            </w:r>
            <w:r>
              <w:rPr>
                <w:rFonts w:ascii="Arial" w:cs="Arial" w:eastAsia="Arial" w:hAnsi="Arial"/>
                <w:sz w:val="18"/>
                <w:szCs w:val="18"/>
                <w:b w:val="1"/>
                <w:bCs w:val="1"/>
                <w:color w:val="auto"/>
              </w:rPr>
              <w:t>prospectus supplement and on page 8 of the accompanying base prospectus and the other</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7460" w:type="dxa"/>
            <w:vAlign w:val="bottom"/>
            <w:gridSpan w:val="5"/>
          </w:tcPr>
          <w:p>
            <w:pPr>
              <w:spacing w:after="0" w:line="163" w:lineRule="exact"/>
              <w:rPr>
                <w:sz w:val="20"/>
                <w:szCs w:val="20"/>
                <w:color w:val="auto"/>
              </w:rPr>
            </w:pPr>
            <w:r>
              <w:rPr>
                <w:rFonts w:ascii="Arial" w:cs="Arial" w:eastAsia="Arial" w:hAnsi="Arial"/>
                <w:sz w:val="18"/>
                <w:szCs w:val="18"/>
                <w:b w:val="1"/>
                <w:bCs w:val="1"/>
                <w:color w:val="auto"/>
              </w:rPr>
              <w:t>risk factors incorporated by reference into this prospectus supplement and the</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5500" w:type="dxa"/>
            <w:vAlign w:val="bottom"/>
            <w:gridSpan w:val="2"/>
            <w:textDirection w:val="btLr"/>
          </w:tcPr>
          <w:p>
            <w:pPr>
              <w:ind w:left="89"/>
              <w:spacing w:after="0"/>
              <w:rPr>
                <w:sz w:val="20"/>
                <w:szCs w:val="20"/>
                <w:color w:val="auto"/>
              </w:rPr>
            </w:pPr>
            <w:r>
              <w:rPr>
                <w:rFonts w:ascii="Arial" w:cs="Arial" w:eastAsia="Arial" w:hAnsi="Arial"/>
                <w:sz w:val="13"/>
                <w:szCs w:val="13"/>
                <w:b w:val="1"/>
                <w:bCs w:val="1"/>
                <w:color w:val="FC0014"/>
                <w:w w:val="76"/>
              </w:rPr>
              <w:t>or</w:t>
            </w: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5440" w:type="dxa"/>
            <w:vAlign w:val="bottom"/>
          </w:tcPr>
          <w:p>
            <w:pPr>
              <w:spacing w:after="0" w:line="123" w:lineRule="exact"/>
              <w:rPr>
                <w:sz w:val="20"/>
                <w:szCs w:val="20"/>
                <w:color w:val="auto"/>
              </w:rPr>
            </w:pPr>
            <w:r>
              <w:rPr>
                <w:rFonts w:ascii="Arial" w:cs="Arial" w:eastAsia="Arial" w:hAnsi="Arial"/>
                <w:sz w:val="13"/>
                <w:szCs w:val="13"/>
                <w:b w:val="1"/>
                <w:bCs w:val="1"/>
                <w:color w:val="auto"/>
              </w:rPr>
              <w:t>accompanying base prospectus.</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5500" w:type="dxa"/>
            <w:vAlign w:val="bottom"/>
            <w:gridSpan w:val="2"/>
            <w:textDirection w:val="btLr"/>
          </w:tcPr>
          <w:p>
            <w:pPr>
              <w:ind w:left="31"/>
              <w:spacing w:after="0"/>
              <w:rPr>
                <w:sz w:val="20"/>
                <w:szCs w:val="20"/>
                <w:color w:val="auto"/>
              </w:rPr>
            </w:pPr>
            <w:r>
              <w:rPr>
                <w:rFonts w:ascii="Arial" w:cs="Arial" w:eastAsia="Arial" w:hAnsi="Arial"/>
                <w:sz w:val="18"/>
                <w:szCs w:val="18"/>
                <w:b w:val="1"/>
                <w:bCs w:val="1"/>
                <w:color w:val="FC0014"/>
                <w:w w:val="89"/>
              </w:rPr>
              <w:t>offer</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
        </w:trPr>
        <w:tc>
          <w:tcPr>
            <w:tcW w:w="60" w:type="dxa"/>
            <w:vAlign w:val="bottom"/>
          </w:tcPr>
          <w:p>
            <w:pPr>
              <w:spacing w:after="0" w:line="20" w:lineRule="exact"/>
              <w:rPr>
                <w:sz w:val="1"/>
                <w:szCs w:val="1"/>
                <w:color w:val="auto"/>
              </w:rPr>
            </w:pPr>
          </w:p>
        </w:tc>
        <w:tc>
          <w:tcPr>
            <w:tcW w:w="7460" w:type="dxa"/>
            <w:vAlign w:val="bottom"/>
            <w:gridSpan w:val="5"/>
          </w:tcPr>
          <w:p>
            <w:pPr>
              <w:spacing w:after="0" w:line="11" w:lineRule="exact"/>
              <w:rPr>
                <w:sz w:val="20"/>
                <w:szCs w:val="20"/>
                <w:color w:val="auto"/>
              </w:rPr>
            </w:pPr>
            <w:r>
              <w:rPr>
                <w:rFonts w:ascii="Arial" w:cs="Arial" w:eastAsia="Arial" w:hAnsi="Arial"/>
                <w:sz w:val="1"/>
                <w:szCs w:val="1"/>
                <w:b w:val="1"/>
                <w:bCs w:val="1"/>
                <w:color w:val="auto"/>
              </w:rPr>
              <w:t>Neither the Securities and Exchange Commission (“SEC”) nor any state securities</w:t>
            </w: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5500" w:type="dxa"/>
            <w:vAlign w:val="bottom"/>
            <w:gridSpan w:val="2"/>
            <w:textDirection w:val="btLr"/>
          </w:tcPr>
          <w:p>
            <w:pPr>
              <w:ind w:left="158"/>
              <w:spacing w:after="0"/>
              <w:rPr>
                <w:sz w:val="20"/>
                <w:szCs w:val="20"/>
                <w:color w:val="auto"/>
              </w:rPr>
            </w:pPr>
            <w:r>
              <w:rPr>
                <w:rFonts w:ascii="Arial" w:cs="Arial" w:eastAsia="Arial" w:hAnsi="Arial"/>
                <w:sz w:val="7"/>
                <w:szCs w:val="7"/>
                <w:b w:val="1"/>
                <w:bCs w:val="1"/>
                <w:color w:val="FC0014"/>
                <w:w w:val="75"/>
              </w:rPr>
              <w:t>the</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7460" w:type="dxa"/>
            <w:vAlign w:val="bottom"/>
            <w:gridSpan w:val="5"/>
          </w:tcPr>
          <w:p>
            <w:pPr>
              <w:spacing w:after="0"/>
              <w:rPr>
                <w:sz w:val="20"/>
                <w:szCs w:val="20"/>
                <w:color w:val="auto"/>
              </w:rPr>
            </w:pPr>
            <w:r>
              <w:rPr>
                <w:rFonts w:ascii="Arial" w:cs="Arial" w:eastAsia="Arial" w:hAnsi="Arial"/>
                <w:sz w:val="18"/>
                <w:szCs w:val="18"/>
                <w:b w:val="1"/>
                <w:bCs w:val="1"/>
                <w:color w:val="auto"/>
              </w:rPr>
              <w:t>commission has approved or disapproved of these securities or passed upon the</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8260" w:type="dxa"/>
            <w:vAlign w:val="bottom"/>
            <w:gridSpan w:val="8"/>
          </w:tcPr>
          <w:p>
            <w:pPr>
              <w:spacing w:after="0" w:line="181" w:lineRule="exact"/>
              <w:rPr>
                <w:sz w:val="20"/>
                <w:szCs w:val="20"/>
                <w:color w:val="auto"/>
              </w:rPr>
            </w:pPr>
            <w:r>
              <w:rPr>
                <w:rFonts w:ascii="Arial" w:cs="Arial" w:eastAsia="Arial" w:hAnsi="Arial"/>
                <w:sz w:val="18"/>
                <w:szCs w:val="18"/>
                <w:b w:val="1"/>
                <w:bCs w:val="1"/>
                <w:color w:val="auto"/>
              </w:rPr>
              <w:t>adequacy or accuracy of this prospectus supplement or the accompanying prospectus.</w:t>
            </w:r>
          </w:p>
        </w:tc>
        <w:tc>
          <w:tcPr>
            <w:tcW w:w="0" w:type="dxa"/>
            <w:vAlign w:val="bottom"/>
          </w:tcPr>
          <w:p>
            <w:pPr>
              <w:spacing w:after="0"/>
              <w:rPr>
                <w:sz w:val="1"/>
                <w:szCs w:val="1"/>
                <w:color w:val="auto"/>
              </w:rPr>
            </w:pPr>
          </w:p>
        </w:tc>
      </w:tr>
      <w:tr>
        <w:trPr>
          <w:trHeight w:val="53"/>
        </w:trPr>
        <w:tc>
          <w:tcPr>
            <w:tcW w:w="5500" w:type="dxa"/>
            <w:vAlign w:val="bottom"/>
            <w:gridSpan w:val="2"/>
            <w:textDirection w:val="btLr"/>
          </w:tcPr>
          <w:p>
            <w:pPr>
              <w:ind w:left="215"/>
              <w:spacing w:after="0"/>
              <w:rPr>
                <w:sz w:val="20"/>
                <w:szCs w:val="20"/>
                <w:color w:val="auto"/>
              </w:rPr>
            </w:pPr>
            <w:r>
              <w:rPr>
                <w:rFonts w:ascii="Arial" w:cs="Arial" w:eastAsia="Arial" w:hAnsi="Arial"/>
                <w:sz w:val="2"/>
                <w:szCs w:val="2"/>
                <w:b w:val="1"/>
                <w:bCs w:val="1"/>
                <w:color w:val="FC0014"/>
              </w:rPr>
              <w:t>where</w:t>
            </w: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Any representation to the contrary is a criminal offense.</w:t>
            </w: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500" w:type="dxa"/>
            <w:vAlign w:val="bottom"/>
            <w:gridSpan w:val="2"/>
            <w:textDirection w:val="btLr"/>
          </w:tcPr>
          <w:p>
            <w:pPr>
              <w:ind w:left="227"/>
              <w:spacing w:after="0"/>
              <w:rPr>
                <w:sz w:val="20"/>
                <w:szCs w:val="20"/>
                <w:color w:val="auto"/>
              </w:rPr>
            </w:pPr>
            <w:r>
              <w:rPr>
                <w:rFonts w:ascii="Arial" w:cs="Arial" w:eastAsia="Arial" w:hAnsi="Arial"/>
                <w:sz w:val="1"/>
                <w:szCs w:val="1"/>
                <w:b w:val="1"/>
                <w:bCs w:val="1"/>
                <w:color w:val="FC0014"/>
                <w:w w:val="73"/>
              </w:rPr>
              <w:t>jurisdiction</w:t>
            </w:r>
          </w:p>
        </w:tc>
        <w:tc>
          <w:tcPr>
            <w:tcW w:w="66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 Share</w:t>
            </w:r>
          </w:p>
        </w:tc>
        <w:tc>
          <w:tcPr>
            <w:tcW w:w="4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 ​</w:t>
            </w:r>
          </w:p>
        </w:tc>
        <w:tc>
          <w:tcPr>
            <w:tcW w:w="280" w:type="dxa"/>
            <w:vAlign w:val="bottom"/>
          </w:tcPr>
          <w:p>
            <w:pPr>
              <w:spacing w:after="0"/>
              <w:rPr>
                <w:sz w:val="2"/>
                <w:szCs w:val="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900" w:type="dxa"/>
            <w:vAlign w:val="bottom"/>
            <w:tcBorders>
              <w:top w:val="single" w:sz="8" w:color="auto"/>
            </w:tcBorders>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660" w:type="dxa"/>
            <w:vAlign w:val="bottom"/>
          </w:tcPr>
          <w:p>
            <w:pPr>
              <w:ind w:left="3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before expenses, to the selling shareholders</w:t>
            </w:r>
          </w:p>
        </w:tc>
        <w:tc>
          <w:tcPr>
            <w:tcW w:w="66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540"/>
              <w:spacing w:after="0" w:line="176" w:lineRule="exact"/>
              <w:rPr>
                <w:sz w:val="20"/>
                <w:szCs w:val="20"/>
                <w:color w:val="auto"/>
              </w:rPr>
            </w:pPr>
            <w:r>
              <w:rPr>
                <w:rFonts w:ascii="Arial" w:cs="Arial" w:eastAsia="Arial" w:hAnsi="Arial"/>
                <w:sz w:val="18"/>
                <w:szCs w:val="18"/>
                <w:color w:val="auto"/>
              </w:rPr>
              <w:t>$</w:t>
            </w:r>
          </w:p>
        </w:tc>
        <w:tc>
          <w:tcPr>
            <w:tcW w:w="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544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ind w:right="6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gridSpan w:val="2"/>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120"/>
              <w:spacing w:after="0" w:line="9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spacing w:after="0"/>
              <w:rPr>
                <w:sz w:val="8"/>
                <w:szCs w:val="8"/>
                <w:color w:val="auto"/>
              </w:rPr>
            </w:pPr>
          </w:p>
        </w:tc>
        <w:tc>
          <w:tcPr>
            <w:tcW w:w="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 For additional underwriting compensation information, see “Underwriting.”</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gridSpan w:val="2"/>
            <w:textDirection w:val="btLr"/>
          </w:tcPr>
          <w:p>
            <w:pPr>
              <w:ind w:left="31"/>
              <w:spacing w:after="0"/>
              <w:rPr>
                <w:sz w:val="20"/>
                <w:szCs w:val="20"/>
                <w:color w:val="auto"/>
              </w:rPr>
            </w:pPr>
            <w:r>
              <w:rPr>
                <w:rFonts w:ascii="Arial" w:cs="Arial" w:eastAsia="Arial" w:hAnsi="Arial"/>
                <w:sz w:val="18"/>
                <w:szCs w:val="18"/>
                <w:b w:val="1"/>
                <w:bCs w:val="1"/>
                <w:color w:val="FC0014"/>
                <w:w w:val="70"/>
              </w:rPr>
              <w:t>any</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8260" w:type="dxa"/>
            <w:vAlign w:val="bottom"/>
            <w:gridSpan w:val="8"/>
          </w:tcPr>
          <w:p>
            <w:pPr>
              <w:spacing w:after="0" w:line="144" w:lineRule="exact"/>
              <w:rPr>
                <w:sz w:val="20"/>
                <w:szCs w:val="20"/>
                <w:color w:val="auto"/>
              </w:rPr>
            </w:pPr>
            <w:r>
              <w:rPr>
                <w:rFonts w:ascii="Arial" w:cs="Arial" w:eastAsia="Arial" w:hAnsi="Arial"/>
                <w:sz w:val="16"/>
                <w:szCs w:val="16"/>
                <w:color w:val="auto"/>
              </w:rPr>
              <w:t>The selling shareholders have granted the underwriter the option to purchase up to an aggregate</w:t>
            </w:r>
          </w:p>
        </w:tc>
        <w:tc>
          <w:tcPr>
            <w:tcW w:w="0" w:type="dxa"/>
            <w:vAlign w:val="bottom"/>
          </w:tcPr>
          <w:p>
            <w:pPr>
              <w:spacing w:after="0"/>
              <w:rPr>
                <w:sz w:val="1"/>
                <w:szCs w:val="1"/>
                <w:color w:val="auto"/>
              </w:rPr>
            </w:pPr>
          </w:p>
        </w:tc>
      </w:tr>
      <w:tr>
        <w:trPr>
          <w:trHeight w:val="80"/>
        </w:trPr>
        <w:tc>
          <w:tcPr>
            <w:tcW w:w="5500" w:type="dxa"/>
            <w:vAlign w:val="bottom"/>
            <w:gridSpan w:val="2"/>
            <w:textDirection w:val="btLr"/>
          </w:tcPr>
          <w:p>
            <w:pPr>
              <w:ind w:left="100"/>
              <w:spacing w:after="0"/>
              <w:rPr>
                <w:sz w:val="20"/>
                <w:szCs w:val="20"/>
                <w:color w:val="auto"/>
              </w:rPr>
            </w:pPr>
            <w:r>
              <w:rPr>
                <w:rFonts w:ascii="Arial" w:cs="Arial" w:eastAsia="Arial" w:hAnsi="Arial"/>
                <w:sz w:val="12"/>
                <w:szCs w:val="12"/>
                <w:b w:val="1"/>
                <w:bCs w:val="1"/>
                <w:color w:val="FC0014"/>
                <w:w w:val="74"/>
              </w:rPr>
              <w:t>in</w:t>
            </w: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7740" w:type="dxa"/>
            <w:vAlign w:val="bottom"/>
            <w:gridSpan w:val="6"/>
          </w:tcPr>
          <w:p>
            <w:pPr>
              <w:spacing w:after="0" w:line="150" w:lineRule="exact"/>
              <w:rPr>
                <w:sz w:val="20"/>
                <w:szCs w:val="20"/>
                <w:color w:val="auto"/>
              </w:rPr>
            </w:pPr>
            <w:r>
              <w:rPr>
                <w:rFonts w:ascii="Arial" w:cs="Arial" w:eastAsia="Arial" w:hAnsi="Arial"/>
                <w:sz w:val="17"/>
                <w:szCs w:val="17"/>
                <w:color w:val="auto"/>
              </w:rPr>
              <w:t>of 1,200,000 additional shares of Common Stock from the selling shareholders on the same</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5500" w:type="dxa"/>
            <w:vAlign w:val="bottom"/>
            <w:gridSpan w:val="2"/>
            <w:textDirection w:val="btLr"/>
          </w:tcPr>
          <w:p>
            <w:pPr>
              <w:ind w:left="227"/>
              <w:spacing w:after="0"/>
              <w:rPr>
                <w:sz w:val="20"/>
                <w:szCs w:val="20"/>
                <w:color w:val="auto"/>
              </w:rPr>
            </w:pPr>
            <w:r>
              <w:rPr>
                <w:rFonts w:ascii="Arial" w:cs="Arial" w:eastAsia="Arial" w:hAnsi="Arial"/>
                <w:sz w:val="1"/>
                <w:szCs w:val="1"/>
                <w:b w:val="1"/>
                <w:bCs w:val="1"/>
                <w:color w:val="FC0014"/>
              </w:rPr>
              <w:t>securities</w:t>
            </w: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terms and conditions within 30 days of the date of this prospectus supplement (the “underwriter’s</w:t>
      </w:r>
    </w:p>
    <w:p>
      <w:pPr>
        <w:spacing w:after="0" w:line="14" w:lineRule="exact"/>
        <w:rPr>
          <w:sz w:val="24"/>
          <w:szCs w:val="24"/>
          <w:color w:val="auto"/>
        </w:rPr>
      </w:pPr>
    </w:p>
    <w:p>
      <w:pPr>
        <w:ind w:left="60" w:right="459"/>
        <w:spacing w:after="0" w:line="222" w:lineRule="auto"/>
        <w:rPr>
          <w:sz w:val="20"/>
          <w:szCs w:val="20"/>
          <w:color w:val="auto"/>
        </w:rPr>
      </w:pPr>
      <w:r>
        <w:rPr>
          <w:rFonts w:ascii="Arial" w:cs="Arial" w:eastAsia="Arial" w:hAnsi="Arial"/>
          <w:sz w:val="18"/>
          <w:szCs w:val="18"/>
          <w:color w:val="auto"/>
        </w:rPr>
        <w:t xml:space="preserve">option”). We will not receive any of the proceeds from the sale of shares by the selling shareholders pursuant to any exercise of the underwriter’s option. See “Selling Shareholders” beginning on page </w:t>
      </w:r>
      <w:r>
        <w:rPr>
          <w:rFonts w:ascii="Arial" w:cs="Arial" w:eastAsia="Arial" w:hAnsi="Arial"/>
          <w:sz w:val="18"/>
          <w:szCs w:val="18"/>
          <w:color w:val="0000EE"/>
        </w:rPr>
        <w:t>S-10</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56"/>
        </w:trPr>
        <w:tc>
          <w:tcPr>
            <w:tcW w:w="1680" w:type="dxa"/>
            <w:vAlign w:val="bottom"/>
          </w:tcPr>
          <w:p>
            <w:pPr>
              <w:spacing w:after="0"/>
              <w:rPr>
                <w:sz w:val="4"/>
                <w:szCs w:val="4"/>
                <w:color w:val="auto"/>
              </w:rPr>
            </w:pPr>
          </w:p>
        </w:tc>
        <w:tc>
          <w:tcPr>
            <w:tcW w:w="420" w:type="dxa"/>
            <w:vAlign w:val="bottom"/>
            <w:tcBorders>
              <w:bottom w:val="single" w:sz="8" w:color="0000EE"/>
            </w:tcBorders>
          </w:tcPr>
          <w:p>
            <w:pPr>
              <w:spacing w:after="0"/>
              <w:rPr>
                <w:sz w:val="4"/>
                <w:szCs w:val="4"/>
                <w:color w:val="auto"/>
              </w:rPr>
            </w:pPr>
          </w:p>
        </w:tc>
        <w:tc>
          <w:tcPr>
            <w:tcW w:w="5960" w:type="dxa"/>
            <w:vAlign w:val="bottom"/>
            <w:gridSpan w:val="3"/>
          </w:tcPr>
          <w:p>
            <w:pPr>
              <w:spacing w:after="0"/>
              <w:rPr>
                <w:sz w:val="4"/>
                <w:szCs w:val="4"/>
                <w:color w:val="auto"/>
              </w:rPr>
            </w:pPr>
          </w:p>
        </w:tc>
      </w:tr>
      <w:tr>
        <w:trPr>
          <w:trHeight w:val="380"/>
        </w:trPr>
        <w:tc>
          <w:tcPr>
            <w:tcW w:w="2100" w:type="dxa"/>
            <w:vAlign w:val="bottom"/>
            <w:gridSpan w:val="2"/>
          </w:tcPr>
          <w:p>
            <w:pPr>
              <w:spacing w:after="0"/>
              <w:rPr>
                <w:sz w:val="20"/>
                <w:szCs w:val="20"/>
                <w:color w:val="auto"/>
              </w:rPr>
            </w:pPr>
            <w:r>
              <w:rPr>
                <w:rFonts w:ascii="Arial" w:cs="Arial" w:eastAsia="Arial" w:hAnsi="Arial"/>
                <w:sz w:val="18"/>
                <w:szCs w:val="18"/>
                <w:b w:val="1"/>
                <w:bCs w:val="1"/>
                <w:color w:val="FC0014"/>
              </w:rPr>
              <w:t>such</w:t>
            </w:r>
            <w:r>
              <w:rPr>
                <w:rFonts w:ascii="Arial" w:cs="Arial" w:eastAsia="Arial" w:hAnsi="Arial"/>
                <w:sz w:val="18"/>
                <w:szCs w:val="18"/>
                <w:color w:val="auto"/>
              </w:rPr>
              <w:t>The underwriter expects</w:t>
            </w:r>
          </w:p>
        </w:tc>
        <w:tc>
          <w:tcPr>
            <w:tcW w:w="5960" w:type="dxa"/>
            <w:vAlign w:val="bottom"/>
            <w:gridSpan w:val="3"/>
          </w:tcPr>
          <w:p>
            <w:pPr>
              <w:ind w:left="60"/>
              <w:spacing w:after="0"/>
              <w:rPr>
                <w:sz w:val="20"/>
                <w:szCs w:val="20"/>
                <w:color w:val="auto"/>
              </w:rPr>
            </w:pPr>
            <w:r>
              <w:rPr>
                <w:rFonts w:ascii="Arial" w:cs="Arial" w:eastAsia="Arial" w:hAnsi="Arial"/>
                <w:sz w:val="18"/>
                <w:szCs w:val="18"/>
                <w:color w:val="auto"/>
              </w:rPr>
              <w:t>to deliver the shares of Common Stock to purchasers against payment</w:t>
            </w:r>
          </w:p>
        </w:tc>
      </w:tr>
      <w:tr>
        <w:trPr>
          <w:trHeight w:val="181"/>
        </w:trPr>
        <w:tc>
          <w:tcPr>
            <w:tcW w:w="1680" w:type="dxa"/>
            <w:vAlign w:val="bottom"/>
          </w:tcPr>
          <w:p>
            <w:pPr>
              <w:ind w:left="60"/>
              <w:spacing w:after="0" w:line="181" w:lineRule="exact"/>
              <w:rPr>
                <w:sz w:val="20"/>
                <w:szCs w:val="20"/>
                <w:color w:val="auto"/>
              </w:rPr>
            </w:pPr>
            <w:r>
              <w:rPr>
                <w:rFonts w:ascii="Arial" w:cs="Arial" w:eastAsia="Arial" w:hAnsi="Arial"/>
                <w:sz w:val="18"/>
                <w:szCs w:val="18"/>
                <w:color w:val="auto"/>
              </w:rPr>
              <w:t>on or about</w:t>
            </w:r>
          </w:p>
        </w:tc>
        <w:tc>
          <w:tcPr>
            <w:tcW w:w="420" w:type="dxa"/>
            <w:vAlign w:val="bottom"/>
          </w:tcPr>
          <w:p>
            <w:pPr>
              <w:spacing w:after="0"/>
              <w:rPr>
                <w:sz w:val="15"/>
                <w:szCs w:val="15"/>
                <w:color w:val="auto"/>
              </w:rPr>
            </w:pPr>
          </w:p>
        </w:tc>
        <w:tc>
          <w:tcPr>
            <w:tcW w:w="5960" w:type="dxa"/>
            <w:vAlign w:val="bottom"/>
            <w:gridSpan w:val="3"/>
          </w:tcPr>
          <w:p>
            <w:pPr>
              <w:ind w:left="120"/>
              <w:spacing w:after="0" w:line="181" w:lineRule="exact"/>
              <w:rPr>
                <w:sz w:val="20"/>
                <w:szCs w:val="20"/>
                <w:color w:val="auto"/>
              </w:rPr>
            </w:pPr>
            <w:r>
              <w:rPr>
                <w:rFonts w:ascii="Arial" w:cs="Arial" w:eastAsia="Arial" w:hAnsi="Arial"/>
                <w:sz w:val="18"/>
                <w:szCs w:val="18"/>
                <w:color w:val="auto"/>
              </w:rPr>
              <w:t>, 2024 through the book-entry facilities of The Depository Trust</w:t>
            </w:r>
          </w:p>
        </w:tc>
      </w:tr>
      <w:tr>
        <w:trPr>
          <w:trHeight w:val="185"/>
        </w:trPr>
        <w:tc>
          <w:tcPr>
            <w:tcW w:w="1680" w:type="dxa"/>
            <w:vAlign w:val="bottom"/>
            <w:textDirection w:val="btLr"/>
          </w:tcPr>
          <w:p>
            <w:pPr>
              <w:ind w:left="54"/>
              <w:spacing w:after="0"/>
              <w:rPr>
                <w:sz w:val="20"/>
                <w:szCs w:val="20"/>
                <w:color w:val="auto"/>
              </w:rPr>
            </w:pPr>
            <w:r>
              <w:rPr>
                <w:rFonts w:ascii="Arial" w:cs="Arial" w:eastAsia="Arial" w:hAnsi="Arial"/>
                <w:sz w:val="16"/>
                <w:szCs w:val="16"/>
                <w:b w:val="1"/>
                <w:bCs w:val="1"/>
                <w:color w:val="FC0014"/>
                <w:w w:val="70"/>
              </w:rPr>
              <w:t>buy</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44"/>
        </w:trPr>
        <w:tc>
          <w:tcPr>
            <w:tcW w:w="1680" w:type="dxa"/>
            <w:vAlign w:val="bottom"/>
          </w:tcPr>
          <w:p>
            <w:pPr>
              <w:ind w:left="60"/>
              <w:spacing w:after="0" w:line="45" w:lineRule="exact"/>
              <w:rPr>
                <w:sz w:val="20"/>
                <w:szCs w:val="20"/>
                <w:color w:val="auto"/>
              </w:rPr>
            </w:pPr>
            <w:r>
              <w:rPr>
                <w:rFonts w:ascii="Arial" w:cs="Arial" w:eastAsia="Arial" w:hAnsi="Arial"/>
                <w:sz w:val="4"/>
                <w:szCs w:val="4"/>
                <w:color w:val="auto"/>
              </w:rPr>
              <w:t>Company.</w:t>
            </w: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920" w:type="dxa"/>
            <w:vAlign w:val="bottom"/>
          </w:tcPr>
          <w:p>
            <w:pPr>
              <w:spacing w:after="0"/>
              <w:rPr>
                <w:sz w:val="3"/>
                <w:szCs w:val="3"/>
                <w:color w:val="auto"/>
              </w:rPr>
            </w:pPr>
          </w:p>
        </w:tc>
      </w:tr>
      <w:tr>
        <w:trPr>
          <w:trHeight w:val="189"/>
        </w:trPr>
        <w:tc>
          <w:tcPr>
            <w:tcW w:w="1680" w:type="dxa"/>
            <w:vAlign w:val="bottom"/>
            <w:textDirection w:val="btLr"/>
          </w:tcPr>
          <w:p>
            <w:pPr>
              <w:ind w:left="31"/>
              <w:spacing w:after="0"/>
              <w:rPr>
                <w:sz w:val="20"/>
                <w:szCs w:val="20"/>
                <w:color w:val="auto"/>
              </w:rPr>
            </w:pPr>
            <w:r>
              <w:rPr>
                <w:rFonts w:ascii="Arial" w:cs="Arial" w:eastAsia="Arial" w:hAnsi="Arial"/>
                <w:sz w:val="18"/>
                <w:szCs w:val="18"/>
                <w:b w:val="1"/>
                <w:bCs w:val="1"/>
                <w:color w:val="FC0014"/>
                <w:w w:val="93"/>
              </w:rPr>
              <w:t>to</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81"/>
        </w:trPr>
        <w:tc>
          <w:tcPr>
            <w:tcW w:w="1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194" w:lineRule="exact"/>
        <w:rPr>
          <w:sz w:val="24"/>
          <w:szCs w:val="24"/>
          <w:color w:val="auto"/>
        </w:rPr>
      </w:pPr>
    </w:p>
    <w:p>
      <w:pPr>
        <w:sectPr>
          <w:pgSz w:w="11900" w:h="16838" w:orient="portrait"/>
          <w:cols w:equalWidth="0" w:num="4">
            <w:col w:w="1062" w:space="9"/>
            <w:col w:w="207" w:space="9"/>
            <w:col w:w="207" w:space="26"/>
            <w:col w:w="8359"/>
          </w:cols>
          <w:pgMar w:left="580" w:top="205" w:right="1440" w:bottom="927" w:gutter="0" w:footer="0" w:header="0"/>
          <w:type w:val="continuous"/>
        </w:sectPr>
      </w:pPr>
    </w:p>
    <w:p>
      <w:pPr>
        <w:ind w:left="486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2994660</wp:posOffset>
            </wp:positionH>
            <wp:positionV relativeFrom="paragraph">
              <wp:posOffset>135890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205" w:right="1440" w:bottom="927"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1580"/>
        <w:spacing w:after="0"/>
        <w:tabs>
          <w:tab w:leader="none" w:pos="6740" w:val="left"/>
        </w:tabs>
        <w:rPr>
          <w:sz w:val="20"/>
          <w:szCs w:val="20"/>
          <w:color w:val="auto"/>
        </w:rPr>
      </w:pPr>
      <w:r>
        <w:rPr>
          <w:rFonts w:ascii="Arial" w:cs="Arial" w:eastAsia="Arial" w:hAnsi="Arial"/>
          <w:sz w:val="20"/>
          <w:szCs w:val="20"/>
          <w:color w:val="auto"/>
        </w:rPr>
        <w:t>The date of this prospectus supplement is</w:t>
      </w:r>
      <w:r>
        <w:rPr>
          <w:sz w:val="20"/>
          <w:szCs w:val="20"/>
          <w:color w:val="auto"/>
        </w:rPr>
        <w:tab/>
      </w:r>
      <w:r>
        <w:rPr>
          <w:rFonts w:ascii="Arial" w:cs="Arial" w:eastAsia="Arial" w:hAnsi="Arial"/>
          <w:sz w:val="20"/>
          <w:szCs w:val="20"/>
          <w:color w:val="auto"/>
        </w:rPr>
        <w: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927"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Table of contents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Prospectus supplement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521208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Forward-looking statements</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offering</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 to non-U.S. 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Validity of common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 incorporation by reference</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Prospectus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Where</w:t>
      </w:r>
      <w:r>
        <w:rPr>
          <w:rFonts w:ascii="Arial" w:cs="Arial" w:eastAsia="Arial" w:hAnsi="Arial"/>
          <w:sz w:val="18"/>
          <w:szCs w:val="18"/>
          <w:color w:val="000000"/>
        </w:rPr>
        <w:t>​</w:t>
      </w:r>
      <w:r>
        <w:rPr>
          <w:rFonts w:ascii="Arial" w:cs="Arial" w:eastAsia="Arial" w:hAnsi="Arial"/>
          <w:sz w:val="18"/>
          <w:szCs w:val="18"/>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right="2340"/>
        <w:spacing w:after="0" w:line="313" w:lineRule="auto"/>
        <w:rPr>
          <w:sz w:val="20"/>
          <w:szCs w:val="20"/>
          <w:color w:val="auto"/>
        </w:rPr>
      </w:pPr>
      <w:r>
        <w:rPr>
          <w:rFonts w:ascii="Arial" w:cs="Arial" w:eastAsia="Arial" w:hAnsi="Arial"/>
          <w:sz w:val="18"/>
          <w:szCs w:val="18"/>
          <w:color w:val="0000EE"/>
        </w:rPr>
        <w:t>Cautionary</w:t>
      </w:r>
      <w:r>
        <w:rPr>
          <w:rFonts w:ascii="Arial" w:cs="Arial" w:eastAsia="Arial" w:hAnsi="Arial"/>
          <w:sz w:val="18"/>
          <w:szCs w:val="18"/>
          <w:color w:val="000000"/>
        </w:rPr>
        <w:t>​</w:t>
      </w:r>
      <w:r>
        <w:rPr>
          <w:rFonts w:ascii="Arial" w:cs="Arial" w:eastAsia="Arial" w:hAnsi="Arial"/>
          <w:sz w:val="18"/>
          <w:szCs w:val="18"/>
          <w:color w:val="0000EE"/>
        </w:rPr>
        <w:t xml:space="preserve"> note regarding forward-looking statements 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Global</w:t>
      </w:r>
      <w:r>
        <w:rPr>
          <w:rFonts w:ascii="Arial" w:cs="Arial" w:eastAsia="Arial" w:hAnsi="Arial"/>
          <w:sz w:val="18"/>
          <w:szCs w:val="18"/>
          <w:color w:val="000000"/>
        </w:rPr>
        <w:t>​</w:t>
      </w:r>
      <w:r>
        <w:rPr>
          <w:rFonts w:ascii="Arial" w:cs="Arial" w:eastAsia="Arial" w:hAnsi="Arial"/>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2834005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 Page​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S-iii</w:t>
      </w:r>
      <w:r>
        <w:rPr>
          <w:rFonts w:ascii="Arial" w:cs="Arial" w:eastAsia="Arial" w:hAnsi="Arial"/>
          <w:sz w:val="18"/>
          <w:szCs w:val="18"/>
          <w:color w:val="auto"/>
        </w:rPr>
        <w:t>​</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S-9</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S-10</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S-26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S-26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S-27</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w:t>
      </w:r>
    </w:p>
    <w:p>
      <w:pPr>
        <w:spacing w:after="0" w:line="45"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54"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22</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25</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30</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30</w:t>
      </w:r>
      <w:r>
        <w:rPr>
          <w:rFonts w:ascii="Arial" w:cs="Arial" w:eastAsia="Arial" w:hAnsi="Arial"/>
          <w:sz w:val="18"/>
          <w:szCs w:val="18"/>
          <w:color w:val="auto"/>
        </w:rPr>
        <w:t>​</w:t>
      </w:r>
    </w:p>
    <w:p>
      <w:pPr>
        <w:sectPr>
          <w:pgSz w:w="11900" w:h="16838" w:orient="portrait"/>
          <w:cols w:equalWidth="0" w:num="2">
            <w:col w:w="8120" w:space="720"/>
            <w:col w:w="10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About this prospectus supplement</w:t>
      </w:r>
    </w:p>
    <w:p>
      <w:pPr>
        <w:spacing w:after="0" w:line="154"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The second part, the accompanying base prospectus, gives more general information, some of which may not apply to this offering. Generally, when we use the term “prospectus,” we are referring to both parts combined. You should read this entire prospectus supplement and the accompanying base prospectus, as well as the documents incorporated by reference herein and therein that are described under “Where You Can Find More Information” in this prospectus supplement and in the accompanying base prospectus. In the event that the information varies between this prospectus supplement and the accompanying base prospectus, you should rely on the information contained in this prospectus supplement.</w:t>
      </w:r>
    </w:p>
    <w:p>
      <w:pPr>
        <w:spacing w:after="0" w:line="111" w:lineRule="exact"/>
        <w:rPr>
          <w:sz w:val="20"/>
          <w:szCs w:val="20"/>
          <w:color w:val="auto"/>
        </w:rPr>
      </w:pPr>
    </w:p>
    <w:p>
      <w:pPr>
        <w:jc w:val="both"/>
        <w:ind w:left="1260" w:right="579"/>
        <w:spacing w:after="0" w:line="268" w:lineRule="auto"/>
        <w:rPr>
          <w:sz w:val="20"/>
          <w:szCs w:val="20"/>
          <w:color w:val="auto"/>
        </w:rPr>
      </w:pPr>
      <w:r>
        <w:rPr>
          <w:rFonts w:ascii="Arial" w:cs="Arial" w:eastAsia="Arial" w:hAnsi="Arial"/>
          <w:sz w:val="18"/>
          <w:szCs w:val="18"/>
          <w:color w:val="auto"/>
        </w:rPr>
        <w:t>In making an investment decision, prospective investors must rely on their own examination of the Company and the terms of the offering,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purchase the securities under applicable laws and regulations.</w:t>
      </w:r>
    </w:p>
    <w:p>
      <w:pPr>
        <w:spacing w:after="0" w:line="343"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b w:val="1"/>
          <w:bCs w:val="1"/>
          <w:color w:val="auto"/>
        </w:rPr>
        <w:t>Neither we, the selling shareholders nor the underwriter have authorized anyone to provide you with any information or to make any representations other than those contained in this prospectus supplement and the accompanying base prospectus, or any free writing prospectuses prepared by or on behalf of us or to which we have referred you. Neither we, the selling shareholders nor the underwriter take responsibility for, and neither we, the selling shareholders nor the underwriter can provide assurance as to the reliability of, any other information that others may give you.</w:t>
      </w:r>
    </w:p>
    <w:p>
      <w:pPr>
        <w:spacing w:after="0" w:line="97" w:lineRule="exact"/>
        <w:rPr>
          <w:sz w:val="20"/>
          <w:szCs w:val="20"/>
          <w:color w:val="auto"/>
        </w:rPr>
      </w:pPr>
    </w:p>
    <w:p>
      <w:pPr>
        <w:ind w:left="1260" w:right="539"/>
        <w:spacing w:after="0" w:line="265" w:lineRule="auto"/>
        <w:rPr>
          <w:sz w:val="20"/>
          <w:szCs w:val="20"/>
          <w:color w:val="auto"/>
        </w:rPr>
      </w:pPr>
      <w:r>
        <w:rPr>
          <w:rFonts w:ascii="Arial" w:cs="Arial" w:eastAsia="Arial" w:hAnsi="Arial"/>
          <w:sz w:val="18"/>
          <w:szCs w:val="18"/>
          <w:b w:val="1"/>
          <w:bCs w:val="1"/>
          <w:color w:val="auto"/>
        </w:rPr>
        <w:t xml:space="preserve">Neither we, the selling shareholders nor the underwriter will make an offer to sell the Common Stock in any jurisdiction where the offer or sale is not permitted. </w:t>
      </w:r>
      <w:r>
        <w:rPr>
          <w:rFonts w:ascii="Arial" w:cs="Arial" w:eastAsia="Arial" w:hAnsi="Arial"/>
          <w:sz w:val="18"/>
          <w:szCs w:val="18"/>
          <w:color w:val="auto"/>
        </w:rPr>
        <w:t>No action is</w:t>
      </w:r>
      <w:r>
        <w:rPr>
          <w:rFonts w:ascii="Arial" w:cs="Arial" w:eastAsia="Arial" w:hAnsi="Arial"/>
          <w:sz w:val="18"/>
          <w:szCs w:val="18"/>
          <w:b w:val="1"/>
          <w:bCs w:val="1"/>
          <w:color w:val="auto"/>
        </w:rPr>
        <w:t xml:space="preserve"> </w:t>
      </w:r>
      <w:r>
        <w:rPr>
          <w:rFonts w:ascii="Arial" w:cs="Arial" w:eastAsia="Arial" w:hAnsi="Arial"/>
          <w:sz w:val="18"/>
          <w:szCs w:val="18"/>
          <w:color w:val="auto"/>
        </w:rPr>
        <w:t>being taken in any jurisdiction outside the United States to permit a public offering of our Common Stock or possession or distribution of this prospectus supplement and accompanying base prospectus in that jurisdiction. Persons who come into possession of this prospectus supplement and accompanying base prospectus in jurisdictions outside the United States are required to inform themselves about and to observe any restrictions as to this offering and the distribution of this prospectus supplement and accompanying base prospectus applicable to that jurisdiction.</w:t>
      </w:r>
    </w:p>
    <w:p>
      <w:pPr>
        <w:spacing w:after="0" w:line="345"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You should assume that the information appearing in this prospectus supplement and the accompanying base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333"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Additional information, including our financial statements and the notes thereto, is incorporated in this prospectus supplement and the accompanying base prospectus by reference to our reports filed with the SEC. Please read “Where You Can Find More Information” in this prospectus supplement and in the accompanying base prospectus. You are urged to read this prospectus supplement and the accompanying base prospectus carefully, including the respective sections titled “Risk Factors,” and the documents incorporated by reference in this prospectus supplement and the accompanying base prospectus in their entirety before investing in our Common Stock.</w:t>
      </w:r>
    </w:p>
    <w:p>
      <w:pPr>
        <w:spacing w:after="0" w:line="103"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Unless the context requires otherwise or unless otherwise noted, all references in this prospectus to “Harmony Biosciences,” “Company,” “we,” “us” or “our” are to Harmony Biosciences Holdings, Inc. and, as applicable, its subsidiaries. References in this prospectus supplement to the “selling shareholders” refer to the entities identified in the selling shareholder table included in the section of this prospectus supplement titled “Selling Shareholders.”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Industry and Market Data</w:t>
      </w:r>
    </w:p>
    <w:p>
      <w:pPr>
        <w:spacing w:after="0" w:line="135" w:lineRule="exact"/>
        <w:rPr>
          <w:sz w:val="20"/>
          <w:szCs w:val="20"/>
          <w:color w:val="auto"/>
        </w:rPr>
      </w:pPr>
    </w:p>
    <w:p>
      <w:pPr>
        <w:ind w:left="1260" w:right="699"/>
        <w:spacing w:after="0" w:line="284" w:lineRule="auto"/>
        <w:rPr>
          <w:sz w:val="20"/>
          <w:szCs w:val="20"/>
          <w:color w:val="auto"/>
        </w:rPr>
      </w:pPr>
      <w:r>
        <w:rPr>
          <w:rFonts w:ascii="Arial" w:cs="Arial" w:eastAsia="Arial" w:hAnsi="Arial"/>
          <w:sz w:val="18"/>
          <w:szCs w:val="18"/>
          <w:color w:val="auto"/>
        </w:rPr>
        <w:t>This prospectus supplement and the accompanying base prospectus incorporate by reference, and any applicable free writing prospectus may contain and incorporate by reference, market data and industry statistics and</w:t>
      </w:r>
    </w:p>
    <w:p>
      <w:pPr>
        <w:sectPr>
          <w:pgSz w:w="11900" w:h="16838" w:orient="portrait"/>
          <w:cols w:equalWidth="0" w:num="1">
            <w:col w:w="9879"/>
          </w:cols>
          <w:pgMar w:left="580" w:top="97" w:right="1440" w:bottom="704" w:gutter="0" w:footer="0" w:header="0"/>
        </w:sectPr>
      </w:pP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04"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59"/>
        <w:spacing w:after="0" w:line="276" w:lineRule="auto"/>
        <w:rPr>
          <w:sz w:val="20"/>
          <w:szCs w:val="20"/>
          <w:color w:val="auto"/>
        </w:rPr>
      </w:pPr>
      <w:r>
        <w:rPr>
          <w:rFonts w:ascii="Arial" w:cs="Arial" w:eastAsia="Arial" w:hAnsi="Arial"/>
          <w:sz w:val="18"/>
          <w:szCs w:val="18"/>
          <w:color w:val="auto"/>
        </w:rPr>
        <w:t>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the accompanying base prospectus or any applicable free writing prospectus may involve estimates, assumptions and other risks and uncertainties and are subject to change based on various factors, including those discussed under the heading “Risk Factors” contained in this prospectus supplement, the accompanying base prospectus and any applicable free writing prospectus, and under similar headings in other documents that are incorporated by reference into this prospectus supplement and the accompanying base prospectus. Accordingly, investors should not place undue reliance on this information.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Trademarks</w:t>
      </w:r>
    </w:p>
    <w:p>
      <w:pPr>
        <w:spacing w:after="0" w:line="148"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This prospectus supplement and the accompanying prospectus contain references to certain trademarks and trade names including the registered trademark product name WAKIX®, which we have in-licensed from Bioprojet Société Civile de Recherche (“Bioprojet”), for use in the United States, and the registered trademarks KNOW NARCOLEPSY®, REM AT THE WRONG TIME® and NON-REM AT THE WRONG TIME®, as well as our brand and logo HB®, HB HARMONY BIOSCIENCES® and HARMONY BIOSCIENCES®, which are protected under applicable intellectual property laws. This prospectus supplement and the accompanying prospectus also contain trademarks, trade names and service marks of other companies, which are the property of their respective owners. Solely for convenience, trademarks, trade names and service marks referred to in this prospectus supplement and the accompanying prospectus may appear without the ®, TM or SM symbols, but such references are not intended to indicate, in any way, that we or the applicable owner or licensor will not assert, to the fullest extent permitted under applicable law, all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Forward-looking statements</w:t>
      </w:r>
    </w:p>
    <w:p>
      <w:pPr>
        <w:spacing w:after="0" w:line="154"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This prospectus supplement and the accompanying base prospectus, including the information we incorporate by reference herein and therein,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supplement, the accompanying base prospectus and the documents incorporated by reference herein and therein,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84" w:lineRule="exact"/>
        <w:rPr>
          <w:sz w:val="20"/>
          <w:szCs w:val="20"/>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efforts and strategy for WAKIX;</w:t>
      </w:r>
    </w:p>
    <w:p>
      <w:pPr>
        <w:spacing w:after="0" w:line="103" w:lineRule="exact"/>
        <w:rPr>
          <w:rFonts w:ascii="Arial" w:cs="Arial" w:eastAsia="Arial" w:hAnsi="Arial"/>
          <w:sz w:val="18"/>
          <w:szCs w:val="18"/>
          <w:color w:val="auto"/>
        </w:rPr>
      </w:pPr>
    </w:p>
    <w:p>
      <w:pPr>
        <w:ind w:left="1400" w:right="1079" w:hanging="140"/>
        <w:spacing w:after="0" w:line="292"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41" w:lineRule="exact"/>
        <w:rPr>
          <w:rFonts w:ascii="Arial" w:cs="Arial" w:eastAsia="Arial" w:hAnsi="Arial"/>
          <w:sz w:val="18"/>
          <w:szCs w:val="18"/>
          <w:color w:val="auto"/>
        </w:rPr>
      </w:pPr>
    </w:p>
    <w:p>
      <w:pPr>
        <w:ind w:left="1400" w:right="519" w:hanging="140"/>
        <w:spacing w:after="0" w:line="289"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 progress developing the new formulations Pitolisant Gastro-resistant and Pitolisant High Dose, and development of ZYN002, EPX100 and other compounds;</w:t>
      </w:r>
    </w:p>
    <w:p>
      <w:pPr>
        <w:spacing w:after="0" w:line="264"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ongoing and planned clinical trials;</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favorable insurance coverage and reimbursement for WAKIX;</w:t>
      </w:r>
    </w:p>
    <w:p>
      <w:pPr>
        <w:spacing w:after="0" w:line="117" w:lineRule="exact"/>
        <w:rPr>
          <w:rFonts w:ascii="Arial" w:cs="Arial" w:eastAsia="Arial" w:hAnsi="Arial"/>
          <w:sz w:val="18"/>
          <w:szCs w:val="18"/>
          <w:color w:val="auto"/>
        </w:rPr>
      </w:pPr>
    </w:p>
    <w:p>
      <w:pPr>
        <w:ind w:left="1400" w:right="479" w:hanging="140"/>
        <w:spacing w:after="0" w:line="318"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4" w:lineRule="exact"/>
        <w:rPr>
          <w:rFonts w:ascii="Arial" w:cs="Arial" w:eastAsia="Arial" w:hAnsi="Arial"/>
          <w:sz w:val="18"/>
          <w:szCs w:val="18"/>
          <w:color w:val="auto"/>
        </w:rPr>
      </w:pPr>
    </w:p>
    <w:p>
      <w:pPr>
        <w:ind w:left="1400" w:right="419" w:hanging="140"/>
        <w:spacing w:after="0" w:line="318"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8" w:lineRule="exact"/>
        <w:rPr>
          <w:rFonts w:ascii="Arial" w:cs="Arial" w:eastAsia="Arial" w:hAnsi="Arial"/>
          <w:sz w:val="18"/>
          <w:szCs w:val="18"/>
          <w:color w:val="auto"/>
        </w:rPr>
      </w:pPr>
    </w:p>
    <w:p>
      <w:pPr>
        <w:ind w:left="1400" w:right="979" w:hanging="140"/>
        <w:spacing w:after="0" w:line="303"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30"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03"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117" w:lineRule="exact"/>
        <w:rPr>
          <w:rFonts w:ascii="Arial" w:cs="Arial" w:eastAsia="Arial" w:hAnsi="Arial"/>
          <w:sz w:val="18"/>
          <w:szCs w:val="18"/>
          <w:color w:val="auto"/>
        </w:rPr>
      </w:pPr>
    </w:p>
    <w:p>
      <w:pPr>
        <w:ind w:left="1400" w:right="659" w:hanging="140"/>
        <w:spacing w:after="0" w:line="318"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4"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17" w:lineRule="exact"/>
        <w:rPr>
          <w:rFonts w:ascii="Arial" w:cs="Arial" w:eastAsia="Arial" w:hAnsi="Arial"/>
          <w:sz w:val="18"/>
          <w:szCs w:val="18"/>
          <w:color w:val="auto"/>
        </w:rPr>
      </w:pPr>
    </w:p>
    <w:p>
      <w:pPr>
        <w:ind w:left="1400" w:right="579" w:hanging="140"/>
        <w:spacing w:after="0" w:line="292"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factors described in the sections titled “Risk Factors” included in this prospectus supplement and the accompanying prospectus, and any additional risks described in our other filings with the SEC incorporated by reference herein and therein.</w:t>
      </w:r>
    </w:p>
    <w:p>
      <w:pPr>
        <w:spacing w:after="0" w:line="82"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As and when made, we believe that our forward-looking statements are reasonable. However, given these risks and uncertainties, caution should be taken not to place undue reliance on any such forward-looking statements since such statements speak only as of the date when made, there can be no assurance that such forward-looking statements will occur and actual results may differ materially from those contained in any forward-looking statement we make. Except as required by law, we undertake no obligation to publicly update or revise any forward-looking statements, whether because of new information, future events or otherwise.</w:t>
      </w:r>
    </w:p>
    <w:p>
      <w:pPr>
        <w:sectPr>
          <w:pgSz w:w="11900" w:h="16838" w:orient="portrait"/>
          <w:cols w:equalWidth="0" w:num="1">
            <w:col w:w="9879"/>
          </w:cols>
          <w:pgMar w:left="580" w:top="97" w:right="1440" w:bottom="1042" w:gutter="0" w:footer="0" w:header="0"/>
        </w:sectPr>
      </w:pP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42"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859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885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Prospectus supplement summary</w:t>
      </w:r>
    </w:p>
    <w:p>
      <w:pPr>
        <w:spacing w:after="0" w:line="156" w:lineRule="exact"/>
        <w:rPr>
          <w:sz w:val="20"/>
          <w:szCs w:val="20"/>
          <w:color w:val="auto"/>
        </w:rPr>
      </w:pPr>
    </w:p>
    <w:p>
      <w:pPr>
        <w:ind w:left="1280" w:right="499"/>
        <w:spacing w:after="0" w:line="268" w:lineRule="auto"/>
        <w:rPr>
          <w:sz w:val="20"/>
          <w:szCs w:val="20"/>
          <w:color w:val="auto"/>
        </w:rPr>
      </w:pPr>
      <w:r>
        <w:rPr>
          <w:rFonts w:ascii="Arial" w:cs="Arial" w:eastAsia="Arial" w:hAnsi="Arial"/>
          <w:sz w:val="18"/>
          <w:szCs w:val="18"/>
          <w:i w:val="1"/>
          <w:iCs w:val="1"/>
          <w:color w:val="auto"/>
        </w:rPr>
        <w:t>This summary does not contain all of the information you should consider before making an investment decision. You should read the entire prospectus supplement, the accompanying base prospectus, the documents incorporated by reference herein and therein and the other documents to which we refer for a more complete understanding of our business and this offering.</w:t>
      </w:r>
    </w:p>
    <w:p>
      <w:pPr>
        <w:spacing w:after="0" w:line="398" w:lineRule="exact"/>
        <w:rPr>
          <w:sz w:val="20"/>
          <w:szCs w:val="20"/>
          <w:color w:val="auto"/>
        </w:rPr>
      </w:pPr>
    </w:p>
    <w:p>
      <w:pPr>
        <w:ind w:left="1280" w:right="579"/>
        <w:spacing w:after="0" w:line="253" w:lineRule="auto"/>
        <w:rPr>
          <w:sz w:val="20"/>
          <w:szCs w:val="20"/>
          <w:color w:val="auto"/>
        </w:rPr>
      </w:pPr>
      <w:r>
        <w:rPr>
          <w:rFonts w:ascii="Arial" w:cs="Arial" w:eastAsia="Arial" w:hAnsi="Arial"/>
          <w:sz w:val="18"/>
          <w:szCs w:val="18"/>
          <w:i w:val="1"/>
          <w:iCs w:val="1"/>
          <w:color w:val="auto"/>
        </w:rPr>
        <w:t>Unless the context otherwise requires, references in this section to the “Company,” “we,” “our,” “us” or like terms refer to Harmony Biosciences Holdings, Inc. and its consolidated subsidiaries.</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Harmony Biosciences Holdings, Inc.</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Overview</w:t>
      </w:r>
    </w:p>
    <w:p>
      <w:pPr>
        <w:spacing w:after="0" w:line="135" w:lineRule="exact"/>
        <w:rPr>
          <w:sz w:val="20"/>
          <w:szCs w:val="20"/>
          <w:color w:val="auto"/>
        </w:rPr>
      </w:pPr>
    </w:p>
    <w:p>
      <w:pPr>
        <w:ind w:left="1280" w:right="459"/>
        <w:spacing w:after="0" w:line="265"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specifically designed to increase histamine signaling in the brain by binding to H3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In June 2024, the FDA approved WAKIX for the treatment of excessive daytime sleepiness in pediatric patients, six years and older, with narcolepsy. WAKIX is the first-and-only approved product for patients with narcolepsy that is not scheduled as a controlled substance by the U.S. Drug Enforcement Administration.</w:t>
      </w:r>
    </w:p>
    <w:p>
      <w:pPr>
        <w:spacing w:after="0" w:line="106" w:lineRule="exact"/>
        <w:rPr>
          <w:sz w:val="20"/>
          <w:szCs w:val="20"/>
          <w:color w:val="auto"/>
        </w:rPr>
      </w:pPr>
    </w:p>
    <w:p>
      <w:pPr>
        <w:ind w:left="1280" w:right="599"/>
        <w:spacing w:after="0" w:line="264" w:lineRule="auto"/>
        <w:rPr>
          <w:sz w:val="20"/>
          <w:szCs w:val="20"/>
          <w:color w:val="auto"/>
        </w:rPr>
      </w:pPr>
      <w:r>
        <w:rPr>
          <w:rFonts w:ascii="Arial" w:cs="Arial" w:eastAsia="Arial" w:hAnsi="Arial"/>
          <w:sz w:val="18"/>
          <w:szCs w:val="18"/>
          <w:color w:val="auto"/>
        </w:rPr>
        <w:t>Pitolisant was developed by Bioprojet and approved by the European Medicines Agency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23" w:lineRule="exact"/>
        <w:rPr>
          <w:sz w:val="20"/>
          <w:szCs w:val="20"/>
          <w:color w:val="auto"/>
        </w:rPr>
      </w:pPr>
    </w:p>
    <w:p>
      <w:pPr>
        <w:ind w:left="1280" w:right="439"/>
        <w:spacing w:after="0" w:line="26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H3 receptors and histamine signaling. We have applied a mechanism-based approach to managing the life cycle of pitolisant and identified idiopathic hypersomnia (“IH”), another central disorder of hypersomnolence like narcolepsy, as our next potential new indication for WAKIX, which received orphan drug designation by the FDA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met with the FDA in March 2024 to discuss the path forward for IH. Following our meeting with the FDA, we plan to submit a supplemental NDA (“sNDA”) for IH in the fourth quarter of 2024 based on the totality of the data obtained from the INTUNE study and from other sources.</w:t>
      </w:r>
    </w:p>
    <w:p>
      <w:pPr>
        <w:spacing w:after="0" w:line="345" w:lineRule="exact"/>
        <w:rPr>
          <w:sz w:val="20"/>
          <w:szCs w:val="20"/>
          <w:color w:val="auto"/>
        </w:rPr>
      </w:pPr>
    </w:p>
    <w:p>
      <w:pPr>
        <w:ind w:left="1280" w:right="499"/>
        <w:spacing w:after="0" w:line="265"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9116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911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64" w:lineRule="auto"/>
        <w:rPr>
          <w:sz w:val="20"/>
          <w:szCs w:val="20"/>
          <w:color w:val="auto"/>
        </w:rPr>
      </w:pPr>
      <w:r>
        <w:rPr>
          <w:rFonts w:ascii="Arial" w:cs="Arial" w:eastAsia="Arial" w:hAnsi="Arial"/>
          <w:sz w:val="18"/>
          <w:szCs w:val="18"/>
          <w:color w:val="auto"/>
        </w:rPr>
        <w:t>there is currently no approved treatment. In October 2023, we received FDA alignment regarding the study design for the Phase 3 TEMPO study in patients with PWS, which we believe will satisfy the requirements for both the registrational trial and one of the two requirements for pediatric exclusivity for pitolisant. In February 2024, the FDA granted Orphan Drug designation to pitolisant for the treatment of PWS. The Phase 3 registrational trial, the TEMPO study, was initiated in March 2024. In June 2021, we initiated a Phase 2 proof- 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safety profile was consistent with the established safety profile of pitolisant.</w:t>
      </w:r>
    </w:p>
    <w:p>
      <w:pPr>
        <w:spacing w:after="0" w:line="126" w:lineRule="exact"/>
        <w:rPr>
          <w:sz w:val="20"/>
          <w:szCs w:val="20"/>
          <w:color w:val="auto"/>
        </w:rPr>
      </w:pPr>
    </w:p>
    <w:p>
      <w:pPr>
        <w:ind w:left="1280" w:right="559"/>
        <w:spacing w:after="0" w:line="265"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On June 24, 2024, we announced that the FDA approved our sNDA for WAKIX for the treatment of EDS in pediatric patients six years of age and older with narcolepsy.</w:t>
      </w:r>
    </w:p>
    <w:p>
      <w:pPr>
        <w:spacing w:after="0" w:line="332" w:lineRule="exact"/>
        <w:rPr>
          <w:sz w:val="20"/>
          <w:szCs w:val="20"/>
          <w:color w:val="auto"/>
        </w:rPr>
      </w:pPr>
    </w:p>
    <w:p>
      <w:pPr>
        <w:ind w:left="1280" w:right="639"/>
        <w:spacing w:after="0" w:line="284" w:lineRule="auto"/>
        <w:rPr>
          <w:sz w:val="20"/>
          <w:szCs w:val="20"/>
          <w:color w:val="auto"/>
        </w:rPr>
      </w:pPr>
      <w:r>
        <w:rPr>
          <w:rFonts w:ascii="Arial" w:cs="Arial" w:eastAsia="Arial" w:hAnsi="Arial"/>
          <w:sz w:val="18"/>
          <w:szCs w:val="18"/>
          <w:color w:val="auto"/>
        </w:rPr>
        <w:t>We remain committed to obtaining pediatric exclusivity for WAKIX. The initiation of the PWS Phase 3 registrational trial, the TEMPO study, and the approval for EDS in pediatric narcolepsy are supportive of our efforts in obtaining pediatric exclusivity for WAKIX.</w:t>
      </w:r>
    </w:p>
    <w:p>
      <w:pPr>
        <w:spacing w:after="0" w:line="102" w:lineRule="exact"/>
        <w:rPr>
          <w:sz w:val="20"/>
          <w:szCs w:val="20"/>
          <w:color w:val="auto"/>
        </w:rPr>
      </w:pPr>
    </w:p>
    <w:p>
      <w:pPr>
        <w:ind w:left="1280" w:right="519"/>
        <w:spacing w:after="0" w:line="273" w:lineRule="auto"/>
        <w:rPr>
          <w:sz w:val="20"/>
          <w:szCs w:val="20"/>
          <w:color w:val="auto"/>
        </w:rPr>
      </w:pPr>
      <w:r>
        <w:rPr>
          <w:rFonts w:ascii="Arial" w:cs="Arial" w:eastAsia="Arial" w:hAnsi="Arial"/>
          <w:sz w:val="18"/>
          <w:szCs w:val="18"/>
          <w:color w:val="auto"/>
        </w:rPr>
        <w:t>We are expanding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We are on-track to initiate a pivotal bioequivalence study and dosing optimization study in the first quarter of 2025. We received data from the Pitolisant HD pilot pharmacokinetics study in June 2024, which also supports advancing this development program toward pivotal trials. The formulation optimization and technical operations work is ongoing, with a goal to initiate Phase 3 registrational studies in the second half of 2025. A Phase 1b study was conducted to evaluate the safety and tolerability of Pitolisant HD and the initial results support advancement of the development program. Provisional patents have been filed for both of these formulations, with the potential for patent protection to the mid-2040’s.</w:t>
      </w:r>
    </w:p>
    <w:p>
      <w:pPr>
        <w:spacing w:after="0" w:line="346" w:lineRule="exact"/>
        <w:rPr>
          <w:sz w:val="20"/>
          <w:szCs w:val="20"/>
          <w:color w:val="auto"/>
        </w:rPr>
      </w:pPr>
    </w:p>
    <w:p>
      <w:pPr>
        <w:ind w:left="1280" w:right="399"/>
        <w:spacing w:after="0" w:line="274" w:lineRule="auto"/>
        <w:rPr>
          <w:sz w:val="20"/>
          <w:szCs w:val="20"/>
          <w:color w:val="auto"/>
        </w:rPr>
      </w:pPr>
      <w:r>
        <w:rPr>
          <w:rFonts w:ascii="Arial" w:cs="Arial" w:eastAsia="Arial" w:hAnsi="Arial"/>
          <w:sz w:val="18"/>
          <w:szCs w:val="18"/>
          <w:color w:val="auto"/>
        </w:rPr>
        <w:t>In October 2023, we completed the acquisition of Zynerba Pharmaceuticals, Inc. (“Zynerba”), a clinical-stage pharmaceutical company focused on innovative pharmaceutically manufactured transdermal cannabidiol therapies for orphan neurobehavioral disorders. Zynerba’s drug candidate is ZYN002, the first and only pharmaceutically manufactured synthetic cannabidiol gel, devoid of THC, and formulated as a patent protected, permeation-enhanced gel for transdermal delivery. Transdermal delivery is thought to provide better gastrointestinal tolerability and minimize the potential for drug interactions or impacts on liver function tests by avoiding first-pass metabolism in the liver. The most common adverse effect is application site pain, which studies have shown typically occurs in less than 7% of patients. ZYN002 is currently in a pivotal Phase 3 trial, the RECONNECT study, for the treatment of Fragile X Syndrome (“FXS”). In the Phase 2 CONNECT-FX trial, patients using ZYN002 showed 40% median improvement in social avoidance behavior as compared to the placebo. We believe the total addressable market for ZYN002 among patients with FXS is approximately 25,000 people based on an estimated current FXS prevalence of up to 87,000 cases and up to 40,000 diagnosed FXS cases. Patients with complete methylation demonstrate</w:t>
      </w:r>
    </w:p>
    <w:p>
      <w:pPr>
        <w:sectPr>
          <w:pgSz w:w="11900" w:h="16838" w:orient="portrait"/>
          <w:cols w:equalWidth="0" w:num="1">
            <w:col w:w="9879"/>
          </w:cols>
          <w:pgMar w:left="580" w:top="97" w:right="1440" w:bottom="878"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78"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9090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909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73" w:lineRule="auto"/>
        <w:rPr>
          <w:sz w:val="20"/>
          <w:szCs w:val="20"/>
          <w:color w:val="auto"/>
        </w:rPr>
      </w:pPr>
      <w:r>
        <w:rPr>
          <w:rFonts w:ascii="Arial" w:cs="Arial" w:eastAsia="Arial" w:hAnsi="Arial"/>
          <w:sz w:val="18"/>
          <w:szCs w:val="18"/>
          <w:color w:val="auto"/>
        </w:rPr>
        <w:t>the most severe symptoms of FXS. Topline data from our ZYN002 Phase 3 study is anticipated in mid-2025. ZYN002 has patent protection for the treatment of FXS until 2038. Based on the positive proof-of-concept (“PoC”) study in 22q deletion syndrome, another rare disorder with prominent neurobehavioral symptoms, we plan to initiate a Phase 3 registrational study in 2025.</w:t>
      </w:r>
    </w:p>
    <w:p>
      <w:pPr>
        <w:spacing w:after="0" w:line="111" w:lineRule="exact"/>
        <w:rPr>
          <w:sz w:val="20"/>
          <w:szCs w:val="20"/>
          <w:color w:val="auto"/>
        </w:rPr>
      </w:pPr>
    </w:p>
    <w:p>
      <w:pPr>
        <w:ind w:left="1280" w:right="439"/>
        <w:spacing w:after="0" w:line="267" w:lineRule="auto"/>
        <w:rPr>
          <w:sz w:val="20"/>
          <w:szCs w:val="20"/>
          <w:color w:val="auto"/>
        </w:rPr>
      </w:pPr>
      <w:r>
        <w:rPr>
          <w:rFonts w:ascii="Arial" w:cs="Arial" w:eastAsia="Arial" w:hAnsi="Arial"/>
          <w:sz w:val="18"/>
          <w:szCs w:val="18"/>
          <w:color w:val="auto"/>
        </w:rPr>
        <w:t>In April 2024, we entered into a sublicense agreement with Bioprojet for an orexin- 2 receptor agonist (OX2R) (“BP1.15205”) to be evaluated for the treatment of narcolepsy and other potential indications (the “Sublicense”). Under the Sublicense, we have obtained the exclusive right to develop, manufacture and commercialize BP1.15205 in the United States and Latin American territories, which are rights that Bioprojet originally licensed from Teijin Pharma, the innovator of BP1.15205. Pre-clinical data from BP1.15205 is promising and we plan to file an IND in mid-2025 and begin first-in-human studies in the second half of 2025.</w:t>
      </w:r>
    </w:p>
    <w:p>
      <w:pPr>
        <w:spacing w:after="0" w:line="103" w:lineRule="exact"/>
        <w:rPr>
          <w:sz w:val="20"/>
          <w:szCs w:val="20"/>
          <w:color w:val="auto"/>
        </w:rPr>
      </w:pPr>
    </w:p>
    <w:p>
      <w:pPr>
        <w:ind w:left="1280" w:right="579"/>
        <w:spacing w:after="0" w:line="262" w:lineRule="auto"/>
        <w:rPr>
          <w:sz w:val="20"/>
          <w:szCs w:val="20"/>
          <w:color w:val="auto"/>
        </w:rPr>
      </w:pPr>
      <w:r>
        <w:rPr>
          <w:rFonts w:ascii="Arial" w:cs="Arial" w:eastAsia="Arial" w:hAnsi="Arial"/>
          <w:sz w:val="18"/>
          <w:szCs w:val="18"/>
          <w:color w:val="auto"/>
        </w:rPr>
        <w:t>Additionally, in April 2024, we acquired all of the outstanding capital stock of Epygenix Therapeutics, Inc. (“Epygenix”), pursuant to the terms of a stock purchase agreement (the “Epygenix Agreement”). As a result, we now have an exclusive license relating to the use of clemizole (“EPX100”), initially for the treatment of Dravet Syndrome (“DS”) and Lennox-Gastaut Syndrome (“LGS”). Patients with both conditions often encounter severe refractory epilepsy, which is not controlled even with polypharmacy, and extreme co-morbidities or mortality without effective treatment. As such, there is a recognized need for improved treatment options for both conditions. We believe the total addressable market for EPX100 among patients with DS is approximately 5,000 people based on an estimated current DS prevalence of approximately</w:t>
      </w:r>
    </w:p>
    <w:p>
      <w:pPr>
        <w:spacing w:after="0" w:line="1" w:lineRule="exact"/>
        <w:rPr>
          <w:sz w:val="20"/>
          <w:szCs w:val="20"/>
          <w:color w:val="auto"/>
        </w:rPr>
      </w:pPr>
    </w:p>
    <w:p>
      <w:pPr>
        <w:ind w:left="1280" w:right="439"/>
        <w:spacing w:after="0" w:line="265" w:lineRule="auto"/>
        <w:rPr>
          <w:sz w:val="20"/>
          <w:szCs w:val="20"/>
          <w:color w:val="auto"/>
        </w:rPr>
      </w:pPr>
      <w:r>
        <w:rPr>
          <w:rFonts w:ascii="Arial" w:cs="Arial" w:eastAsia="Arial" w:hAnsi="Arial"/>
          <w:sz w:val="18"/>
          <w:szCs w:val="18"/>
          <w:color w:val="auto"/>
        </w:rPr>
        <w:t>8,600 cases and approximately 7,000 diagnosed DS cases. We believe the total addressable market for EPX100 among patients with LGS is approximately 35,000 people based on an estimated current LGS prevalence of approximately 48,000 cases and 44,000 diagnosed LGS cases. EPX100 is currently in a Phase 3 registrational clinical trial for DS and we plan to initiate a Phase 3 registrational clinical trial in patients with LGS in the fourth quarter of 2024. In previous clinical trials, EPX100 has shown an improved safety and tolerability profile as compared to other approved therapies.</w:t>
      </w:r>
    </w:p>
    <w:p>
      <w:pPr>
        <w:spacing w:after="0" w:line="334" w:lineRule="exact"/>
        <w:rPr>
          <w:sz w:val="20"/>
          <w:szCs w:val="20"/>
          <w:color w:val="auto"/>
        </w:rPr>
      </w:pPr>
    </w:p>
    <w:p>
      <w:pPr>
        <w:ind w:left="1280" w:right="419"/>
        <w:spacing w:after="0" w:line="273" w:lineRule="auto"/>
        <w:rPr>
          <w:sz w:val="20"/>
          <w:szCs w:val="20"/>
          <w:color w:val="auto"/>
        </w:rPr>
      </w:pPr>
      <w:r>
        <w:rPr>
          <w:rFonts w:ascii="Arial" w:cs="Arial" w:eastAsia="Arial" w:hAnsi="Arial"/>
          <w:sz w:val="18"/>
          <w:szCs w:val="18"/>
          <w:color w:val="auto"/>
        </w:rPr>
        <w:t>We are currently developing EPX200, a potent, oral, centrally active and selective 5HT2C agonist and liquid formulation of lorcaserin (“EPX200”), another asset acquired pursuant to the terms of the Epygenix Agreement. EPX200 is currently in IND-enabling studies to treat Developmental and Epileptic Encephalopathy.</w:t>
      </w:r>
    </w:p>
    <w:p>
      <w:pPr>
        <w:spacing w:after="0" w:line="98" w:lineRule="exact"/>
        <w:rPr>
          <w:sz w:val="20"/>
          <w:szCs w:val="20"/>
          <w:color w:val="auto"/>
        </w:rPr>
      </w:pPr>
    </w:p>
    <w:p>
      <w:pPr>
        <w:ind w:left="1280" w:right="599"/>
        <w:spacing w:after="0" w:line="265" w:lineRule="auto"/>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 the results are consistent with the expected results. We are on track to initiate a juvenile toxicology study in the fourth quarter of 2024. In addition, a 13-week toxicology study is complete, and the preliminary results are encouraging.</w:t>
      </w:r>
    </w:p>
    <w:p>
      <w:pPr>
        <w:spacing w:after="0" w:line="335" w:lineRule="exact"/>
        <w:rPr>
          <w:sz w:val="20"/>
          <w:szCs w:val="20"/>
          <w:color w:val="auto"/>
        </w:rPr>
      </w:pPr>
    </w:p>
    <w:p>
      <w:pPr>
        <w:ind w:left="1280" w:right="519"/>
        <w:spacing w:after="0" w:line="303" w:lineRule="auto"/>
        <w:rPr>
          <w:sz w:val="20"/>
          <w:szCs w:val="20"/>
          <w:color w:val="auto"/>
        </w:rPr>
      </w:pPr>
      <w:r>
        <w:rPr>
          <w:rFonts w:ascii="Arial" w:cs="Arial" w:eastAsia="Arial" w:hAnsi="Arial"/>
          <w:sz w:val="18"/>
          <w:szCs w:val="18"/>
          <w:color w:val="auto"/>
        </w:rPr>
        <w:t>Our operations are conducted by our wholly owned subsidiaries, Harmony Biosciences, LLC and Zynerba, which is now known as Harmony Biosciences Management, Inc. as of July 1, 2024.</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Corporate Information</w:t>
      </w:r>
    </w:p>
    <w:p>
      <w:pPr>
        <w:spacing w:after="0" w:line="135" w:lineRule="exact"/>
        <w:rPr>
          <w:sz w:val="20"/>
          <w:szCs w:val="20"/>
          <w:color w:val="auto"/>
        </w:rPr>
      </w:pPr>
    </w:p>
    <w:p>
      <w:pPr>
        <w:ind w:left="1280" w:right="419"/>
        <w:spacing w:after="0" w:line="265" w:lineRule="auto"/>
        <w:rPr>
          <w:sz w:val="20"/>
          <w:szCs w:val="20"/>
          <w:color w:val="auto"/>
        </w:rPr>
      </w:pPr>
      <w:r>
        <w:rPr>
          <w:rFonts w:ascii="Arial" w:cs="Arial" w:eastAsia="Arial" w:hAnsi="Arial"/>
          <w:sz w:val="18"/>
          <w:szCs w:val="18"/>
          <w:color w:val="auto"/>
        </w:rPr>
        <w:t>Our principal executive offices are located at 630 W. Germantown Pike, Plymouth Meeting, PA 19462, and our telephone number is (484) 539-9800. Our internet website is www.harmonybiosciences.com. We routinely make important information available on our website free of charge,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Regulation FD. Information contained on our website shall not be deemed</w:t>
      </w:r>
    </w:p>
    <w:p>
      <w:pPr>
        <w:sectPr>
          <w:pgSz w:w="11900" w:h="16838" w:orient="portrait"/>
          <w:cols w:equalWidth="0" w:num="1">
            <w:col w:w="9879"/>
          </w:cols>
          <w:pgMar w:left="580" w:top="97" w:right="1440" w:bottom="905"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05"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80" w:right="559"/>
        <w:spacing w:after="0" w:line="283" w:lineRule="auto"/>
        <w:rPr>
          <w:sz w:val="20"/>
          <w:szCs w:val="20"/>
          <w:color w:val="auto"/>
        </w:rPr>
      </w:pPr>
      <w:r>
        <w:rPr>
          <w:rFonts w:ascii="Arial" w:cs="Arial" w:eastAsia="Arial" w:hAnsi="Arial"/>
          <w:sz w:val="18"/>
          <w:szCs w:val="18"/>
          <w:color w:val="auto"/>
        </w:rPr>
        <w:t xml:space="preserve">incorporated into, or to be part of this Annual Report on Form 10-K, and any website references are not intended to be made through active hyperlinks. See “Where You Can Find More Information; Incorporation by Reference” beginning on page </w:t>
      </w:r>
      <w:r>
        <w:rPr>
          <w:rFonts w:ascii="Arial" w:cs="Arial" w:eastAsia="Arial" w:hAnsi="Arial"/>
          <w:sz w:val="18"/>
          <w:szCs w:val="18"/>
          <w:u w:val="single" w:color="auto"/>
          <w:color w:val="0000EE"/>
        </w:rPr>
        <w:t>S-27</w:t>
      </w:r>
      <w:r>
        <w:rPr>
          <w:rFonts w:ascii="Arial" w:cs="Arial" w:eastAsia="Arial" w:hAnsi="Arial"/>
          <w:sz w:val="18"/>
          <w:szCs w:val="18"/>
          <w:color w:val="auto"/>
        </w:rPr>
        <w:t xml:space="preserve"> of this prospectus supplement and on page 4 of the accompanying base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705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87052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The offering</w:t>
      </w:r>
    </w:p>
    <w:p>
      <w:pPr>
        <w:spacing w:after="0" w:line="11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Issuer</w:t>
      </w:r>
    </w:p>
    <w:p>
      <w:pPr>
        <w:spacing w:after="0" w:line="131" w:lineRule="exact"/>
        <w:rPr>
          <w:sz w:val="20"/>
          <w:szCs w:val="20"/>
          <w:color w:val="auto"/>
        </w:rPr>
      </w:pPr>
    </w:p>
    <w:p>
      <w:pPr>
        <w:ind w:left="1440" w:right="280" w:hanging="161"/>
        <w:spacing w:after="0" w:line="296" w:lineRule="auto"/>
        <w:rPr>
          <w:sz w:val="20"/>
          <w:szCs w:val="20"/>
          <w:color w:val="auto"/>
        </w:rPr>
      </w:pPr>
      <w:r>
        <w:rPr>
          <w:rFonts w:ascii="Arial" w:cs="Arial" w:eastAsia="Arial" w:hAnsi="Arial"/>
          <w:sz w:val="18"/>
          <w:szCs w:val="18"/>
          <w:b w:val="1"/>
          <w:bCs w:val="1"/>
          <w:color w:val="auto"/>
        </w:rPr>
        <w:t>Common Stock offered by the selling shareholders</w:t>
      </w:r>
    </w:p>
    <w:p>
      <w:pPr>
        <w:spacing w:after="0" w:line="56" w:lineRule="exact"/>
        <w:rPr>
          <w:sz w:val="20"/>
          <w:szCs w:val="20"/>
          <w:color w:val="auto"/>
        </w:rPr>
      </w:pPr>
    </w:p>
    <w:p>
      <w:pPr>
        <w:ind w:left="1440" w:right="280" w:hanging="161"/>
        <w:spacing w:after="0" w:line="296" w:lineRule="auto"/>
        <w:rPr>
          <w:sz w:val="20"/>
          <w:szCs w:val="20"/>
          <w:color w:val="auto"/>
        </w:rPr>
      </w:pPr>
      <w:r>
        <w:rPr>
          <w:rFonts w:ascii="Arial" w:cs="Arial" w:eastAsia="Arial" w:hAnsi="Arial"/>
          <w:sz w:val="18"/>
          <w:szCs w:val="18"/>
          <w:b w:val="1"/>
          <w:bCs w:val="1"/>
          <w:color w:val="auto"/>
        </w:rPr>
        <w:t>Option to purchase additional Common Stock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40" w:right="100" w:hanging="161"/>
        <w:spacing w:after="0" w:line="296" w:lineRule="auto"/>
        <w:rPr>
          <w:sz w:val="20"/>
          <w:szCs w:val="20"/>
          <w:color w:val="auto"/>
        </w:rPr>
      </w:pPr>
      <w:r>
        <w:rPr>
          <w:rFonts w:ascii="Arial" w:cs="Arial" w:eastAsia="Arial" w:hAnsi="Arial"/>
          <w:sz w:val="18"/>
          <w:szCs w:val="18"/>
          <w:b w:val="1"/>
          <w:bCs w:val="1"/>
          <w:color w:val="auto"/>
        </w:rPr>
        <w:t>Shares of Common Stock outstanding after this offering</w:t>
      </w:r>
    </w:p>
    <w:p>
      <w:pPr>
        <w:spacing w:after="0" w:line="2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Listing and trading symbol</w:t>
      </w: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Harmony Biosciences Holdings, Inc.</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8,000,000 shares.</w:t>
      </w:r>
    </w:p>
    <w:p>
      <w:pPr>
        <w:spacing w:after="0" w:line="360" w:lineRule="exact"/>
        <w:rPr>
          <w:sz w:val="20"/>
          <w:szCs w:val="20"/>
          <w:color w:val="auto"/>
        </w:rPr>
      </w:pPr>
    </w:p>
    <w:p>
      <w:pPr>
        <w:ind w:right="459"/>
        <w:spacing w:after="0" w:line="289" w:lineRule="auto"/>
        <w:rPr>
          <w:sz w:val="20"/>
          <w:szCs w:val="20"/>
          <w:color w:val="auto"/>
        </w:rPr>
      </w:pPr>
      <w:r>
        <w:rPr>
          <w:rFonts w:ascii="Arial" w:cs="Arial" w:eastAsia="Arial" w:hAnsi="Arial"/>
          <w:sz w:val="18"/>
          <w:szCs w:val="18"/>
          <w:color w:val="auto"/>
        </w:rPr>
        <w:t>The selling shareholders have granted the underwriter a 30-day option to purchase up to an aggregate of 1,200,000 additional shares of Common Stock.</w:t>
      </w:r>
    </w:p>
    <w:p>
      <w:pPr>
        <w:spacing w:after="0" w:line="200" w:lineRule="exact"/>
        <w:rPr>
          <w:sz w:val="20"/>
          <w:szCs w:val="20"/>
          <w:color w:val="auto"/>
        </w:rPr>
      </w:pPr>
    </w:p>
    <w:p>
      <w:pPr>
        <w:spacing w:after="0" w:line="308" w:lineRule="exact"/>
        <w:rPr>
          <w:sz w:val="20"/>
          <w:szCs w:val="20"/>
          <w:color w:val="auto"/>
        </w:rPr>
      </w:pPr>
    </w:p>
    <w:p>
      <w:pPr>
        <w:ind w:right="399"/>
        <w:spacing w:after="0" w:line="303" w:lineRule="auto"/>
        <w:rPr>
          <w:sz w:val="20"/>
          <w:szCs w:val="20"/>
          <w:color w:val="auto"/>
        </w:rPr>
      </w:pPr>
      <w:r>
        <w:rPr>
          <w:rFonts w:ascii="Arial" w:cs="Arial" w:eastAsia="Arial" w:hAnsi="Arial"/>
          <w:sz w:val="18"/>
          <w:szCs w:val="18"/>
          <w:color w:val="auto"/>
        </w:rPr>
        <w:t>57,030,897 shares. The number of shares outstanding will not change as a result of this offering.</w:t>
      </w:r>
    </w:p>
    <w:p>
      <w:pPr>
        <w:spacing w:after="0" w:line="58" w:lineRule="exact"/>
        <w:rPr>
          <w:sz w:val="20"/>
          <w:szCs w:val="20"/>
          <w:color w:val="auto"/>
        </w:rPr>
      </w:pPr>
    </w:p>
    <w:p>
      <w:pPr>
        <w:ind w:right="499"/>
        <w:spacing w:after="0" w:line="276" w:lineRule="auto"/>
        <w:rPr>
          <w:sz w:val="20"/>
          <w:szCs w:val="20"/>
          <w:color w:val="auto"/>
        </w:rPr>
      </w:pPr>
      <w:r>
        <w:rPr>
          <w:rFonts w:ascii="Arial" w:cs="Arial" w:eastAsia="Arial" w:hAnsi="Arial"/>
          <w:sz w:val="18"/>
          <w:szCs w:val="18"/>
          <w:color w:val="auto"/>
        </w:rPr>
        <w:t>We will not receive any proceeds from the sale of Common Stock by the selling shareholders in this offering, including from any exercise by the underwriter of the underwriter’s option. The selling shareholders will receive all of the net proceeds from the sale of these shares. See “Use of Proceeds.</w:t>
      </w:r>
    </w:p>
    <w:p>
      <w:pPr>
        <w:spacing w:after="0" w:line="84" w:lineRule="exact"/>
        <w:rPr>
          <w:sz w:val="20"/>
          <w:szCs w:val="20"/>
          <w:color w:val="auto"/>
        </w:rPr>
      </w:pPr>
    </w:p>
    <w:p>
      <w:pPr>
        <w:ind w:right="399"/>
        <w:spacing w:after="0" w:line="273" w:lineRule="auto"/>
        <w:rPr>
          <w:sz w:val="20"/>
          <w:szCs w:val="20"/>
          <w:color w:val="auto"/>
        </w:rPr>
      </w:pPr>
      <w:r>
        <w:rPr>
          <w:rFonts w:ascii="Arial" w:cs="Arial" w:eastAsia="Arial" w:hAnsi="Arial"/>
          <w:sz w:val="18"/>
          <w:szCs w:val="18"/>
          <w:color w:val="auto"/>
        </w:rPr>
        <w:t>Our executive officers, directors, the selling shareholders and certain other shareholders have entered into a lock-up agreement with the underwriter, which prohibits them from selling their shares of Common Stock or any securities convertible into or exercisable or exchangeable for our Common Stock (other than in this offering) for a period ending at the close of business 60 days from the date of this prospectus supplement with respect to our executive officers, directors and certain other shareholders, and 90 days from the date of this prospectus supplement with respect to the selling shareholders. See “Underwriting” for more information on these agreements.</w:t>
      </w:r>
    </w:p>
    <w:p>
      <w:pPr>
        <w:spacing w:after="0" w:line="314" w:lineRule="exact"/>
        <w:rPr>
          <w:sz w:val="20"/>
          <w:szCs w:val="20"/>
          <w:color w:val="auto"/>
        </w:rPr>
      </w:pPr>
    </w:p>
    <w:p>
      <w:pPr>
        <w:ind w:right="579"/>
        <w:spacing w:after="0" w:line="318" w:lineRule="auto"/>
        <w:rPr>
          <w:sz w:val="20"/>
          <w:szCs w:val="20"/>
          <w:color w:val="auto"/>
        </w:rPr>
      </w:pPr>
      <w:r>
        <w:rPr>
          <w:rFonts w:ascii="Arial" w:cs="Arial" w:eastAsia="Arial" w:hAnsi="Arial"/>
          <w:sz w:val="18"/>
          <w:szCs w:val="18"/>
          <w:color w:val="auto"/>
        </w:rPr>
        <w:t>Shares of our Common Stock are traded on Nasdaq under the symbol “HRMY.”</w:t>
      </w:r>
    </w:p>
    <w:p>
      <w:pPr>
        <w:spacing w:after="0" w:line="32" w:lineRule="exact"/>
        <w:rPr>
          <w:sz w:val="20"/>
          <w:szCs w:val="20"/>
          <w:color w:val="auto"/>
        </w:rPr>
      </w:pPr>
    </w:p>
    <w:p>
      <w:pPr>
        <w:ind w:right="439"/>
        <w:spacing w:after="0" w:line="275" w:lineRule="auto"/>
        <w:rPr>
          <w:sz w:val="20"/>
          <w:szCs w:val="20"/>
          <w:color w:val="auto"/>
        </w:rPr>
      </w:pPr>
      <w:r>
        <w:rPr>
          <w:rFonts w:ascii="Arial" w:cs="Arial" w:eastAsia="Arial" w:hAnsi="Arial"/>
          <w:sz w:val="18"/>
          <w:szCs w:val="18"/>
          <w:color w:val="auto"/>
        </w:rPr>
        <w:t xml:space="preserve">You should carefully read and consider the information set forth under the heading “Risk Factors” beginning on page </w:t>
      </w:r>
      <w:r>
        <w:rPr>
          <w:rFonts w:ascii="Arial" w:cs="Arial" w:eastAsia="Arial" w:hAnsi="Arial"/>
          <w:sz w:val="18"/>
          <w:szCs w:val="18"/>
          <w:u w:val="single" w:color="auto"/>
          <w:color w:val="0000EE"/>
        </w:rPr>
        <w:t>S-7</w:t>
      </w:r>
      <w:r>
        <w:rPr>
          <w:rFonts w:ascii="Arial" w:cs="Arial" w:eastAsia="Arial" w:hAnsi="Arial"/>
          <w:sz w:val="18"/>
          <w:szCs w:val="18"/>
          <w:color w:val="auto"/>
        </w:rPr>
        <w:t xml:space="preserve"> of this prospectus supplement and other risk factors incorporated by reference into this prospectus supplement and the accompanying base prospectus from the filings we make with the SEC, as well as all other information included or incorporated by reference in this prospectus supplement and the accompanying base prospectus, before deciding to invest in our Common Stock.</w:t>
      </w:r>
    </w:p>
    <w:p>
      <w:pPr>
        <w:spacing w:after="0" w:line="112" w:lineRule="exact"/>
        <w:rPr>
          <w:sz w:val="20"/>
          <w:szCs w:val="20"/>
          <w:color w:val="auto"/>
        </w:rPr>
      </w:pPr>
    </w:p>
    <w:p>
      <w:pPr>
        <w:sectPr>
          <w:pgSz w:w="11900" w:h="16838" w:orient="portrait"/>
          <w:cols w:equalWidth="0" w:num="2">
            <w:col w:w="4240" w:space="720"/>
            <w:col w:w="4919"/>
          </w:cols>
          <w:pgMar w:left="580" w:top="97" w:right="1440" w:bottom="1440" w:gutter="0" w:footer="0" w:header="0"/>
          <w:type w:val="continuous"/>
        </w:sectPr>
      </w:pPr>
    </w:p>
    <w:p>
      <w:pPr>
        <w:ind w:left="1280" w:right="639"/>
        <w:spacing w:after="0" w:line="303" w:lineRule="auto"/>
        <w:rPr>
          <w:sz w:val="20"/>
          <w:szCs w:val="20"/>
          <w:color w:val="auto"/>
        </w:rPr>
      </w:pPr>
      <w:r>
        <w:rPr>
          <w:rFonts w:ascii="Arial" w:cs="Arial" w:eastAsia="Arial" w:hAnsi="Arial"/>
          <w:sz w:val="18"/>
          <w:szCs w:val="18"/>
          <w:color w:val="auto"/>
        </w:rPr>
        <w:t>The number of shares of Common Stock outstanding prior to and after this offering is based on 57,030,897 shares of Common Stock outstanding as of September 30, 2024 and excludes:</w:t>
      </w:r>
    </w:p>
    <w:p>
      <w:pPr>
        <w:spacing w:after="0" w:line="58" w:lineRule="exact"/>
        <w:rPr>
          <w:sz w:val="20"/>
          <w:szCs w:val="20"/>
          <w:color w:val="auto"/>
        </w:rPr>
      </w:pPr>
    </w:p>
    <w:p>
      <w:pPr>
        <w:ind w:left="1420" w:right="399" w:hanging="142"/>
        <w:spacing w:after="0" w:line="30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7,412,763 shares of our Common Stock issuable upon the exercise of stock options outstanding as of September 30, 2024, at a weighted average exercise price of $32.49 per share;</w:t>
      </w:r>
    </w:p>
    <w:p>
      <w:pPr>
        <w:spacing w:after="0" w:line="44" w:lineRule="exact"/>
        <w:rPr>
          <w:rFonts w:ascii="Arial" w:cs="Arial" w:eastAsia="Arial" w:hAnsi="Arial"/>
          <w:sz w:val="18"/>
          <w:szCs w:val="18"/>
          <w:color w:val="auto"/>
        </w:rPr>
      </w:pPr>
    </w:p>
    <w:p>
      <w:pPr>
        <w:ind w:left="1420" w:right="739" w:hanging="142"/>
        <w:spacing w:after="0" w:line="318"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646,400 shares of our Common Stock issuable upon the vesting and settlement of restricted stock units (“RSUs”) outstanding as of September 30, 2024;</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20" w:right="479" w:hanging="142"/>
        <w:spacing w:after="0" w:line="318"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Zero shares of our Common Stock issuable upon the exercise of outstanding options or vesting and settlement of RSUs granted after September 30, 2024; and</w:t>
      </w:r>
    </w:p>
    <w:p>
      <w:pPr>
        <w:spacing w:after="0" w:line="31" w:lineRule="exact"/>
        <w:rPr>
          <w:rFonts w:ascii="Arial" w:cs="Arial" w:eastAsia="Arial" w:hAnsi="Arial"/>
          <w:sz w:val="18"/>
          <w:szCs w:val="18"/>
          <w:color w:val="auto"/>
        </w:rPr>
      </w:pPr>
    </w:p>
    <w:p>
      <w:pPr>
        <w:ind w:left="1420" w:right="479" w:hanging="142"/>
        <w:spacing w:after="0" w:line="29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9,720,672 shares of our Common Stock reserved for future issuance under our 2020 Employee Stock Purchase Plan, 2020 Incentive Award Plan, as amended and Non-Employee Director Compensation Program as of September 30, 2024.</w:t>
      </w:r>
    </w:p>
    <w:p>
      <w:pPr>
        <w:spacing w:after="0" w:line="95" w:lineRule="exact"/>
        <w:rPr>
          <w:sz w:val="20"/>
          <w:szCs w:val="20"/>
          <w:color w:val="auto"/>
        </w:rPr>
      </w:pPr>
    </w:p>
    <w:p>
      <w:pPr>
        <w:ind w:left="1280" w:right="459"/>
        <w:spacing w:after="0" w:line="303" w:lineRule="auto"/>
        <w:rPr>
          <w:sz w:val="20"/>
          <w:szCs w:val="20"/>
          <w:color w:val="auto"/>
        </w:rPr>
      </w:pPr>
      <w:r>
        <w:rPr>
          <w:rFonts w:ascii="Arial" w:cs="Arial" w:eastAsia="Arial" w:hAnsi="Arial"/>
          <w:sz w:val="18"/>
          <w:szCs w:val="18"/>
          <w:color w:val="auto"/>
        </w:rPr>
        <w:t>In addition, except as otherwise indicated, all information in this prospectus supplement assumes the following:</w:t>
      </w:r>
    </w:p>
    <w:p>
      <w:pPr>
        <w:spacing w:after="0" w:line="44" w:lineRule="exact"/>
        <w:rPr>
          <w:sz w:val="20"/>
          <w:szCs w:val="20"/>
          <w:color w:val="auto"/>
        </w:rPr>
      </w:pPr>
    </w:p>
    <w:p>
      <w:pPr>
        <w:ind w:left="1420" w:right="1399" w:hanging="142"/>
        <w:spacing w:after="0" w:line="318"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exercise of outstanding options or vesting and settlement of RSUs subsequent to September 30, 2024; and</w:t>
      </w:r>
    </w:p>
    <w:p>
      <w:pPr>
        <w:spacing w:after="0" w:line="31" w:lineRule="exact"/>
        <w:rPr>
          <w:rFonts w:ascii="Arial" w:cs="Arial" w:eastAsia="Arial" w:hAnsi="Arial"/>
          <w:sz w:val="18"/>
          <w:szCs w:val="18"/>
          <w:color w:val="auto"/>
        </w:rPr>
      </w:pPr>
    </w:p>
    <w:p>
      <w:pPr>
        <w:ind w:left="1420" w:hanging="142"/>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exercise by the underwriter of their option to purchase additional shares of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 factors</w:t>
      </w:r>
    </w:p>
    <w:p>
      <w:pPr>
        <w:spacing w:after="0" w:line="154"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An investment in our Common Stock involves risks. We urge you to carefully consider the information included below and under the respective sections titled “Risk Factors” in our most recent Annual Report on Form 10-K and Quarterly Report on Form 10-Q, which are incorporated by reference into this prospectus supplement and the accompanying base prospectus, together with all of the other information included in this prospectus supplement and the accompanying base prospectus and the documents we incorporate by reference, in evaluating an investment in our Common Stock.</w:t>
      </w:r>
    </w:p>
    <w:p>
      <w:pPr>
        <w:spacing w:after="0" w:line="333" w:lineRule="exact"/>
        <w:rPr>
          <w:sz w:val="20"/>
          <w:szCs w:val="20"/>
          <w:color w:val="auto"/>
        </w:rPr>
      </w:pPr>
    </w:p>
    <w:p>
      <w:pPr>
        <w:ind w:left="1260" w:right="639"/>
        <w:spacing w:after="0" w:line="267" w:lineRule="auto"/>
        <w:rPr>
          <w:sz w:val="20"/>
          <w:szCs w:val="20"/>
          <w:color w:val="auto"/>
        </w:rPr>
      </w:pPr>
      <w:r>
        <w:rPr>
          <w:rFonts w:ascii="Arial" w:cs="Arial" w:eastAsia="Arial" w:hAnsi="Arial"/>
          <w:sz w:val="18"/>
          <w:szCs w:val="18"/>
          <w:color w:val="auto"/>
        </w:rPr>
        <w:t>If any of these risks were to materialize, our business, financial condition, results of operations and cash flows could be materially and adversely affected and you could lose all or part of your investment. Please also read “Forward-Looking Statements.” The risks described herein and those incorporated by reference into this prospectus supplement and the accompanying base prospectus are not the only ones facing us. Additional risks not presently known to us or which we currently consider immaterial also may adversely affect us.</w:t>
      </w:r>
    </w:p>
    <w:p>
      <w:pPr>
        <w:spacing w:after="0" w:line="173" w:lineRule="exact"/>
        <w:rPr>
          <w:sz w:val="20"/>
          <w:szCs w:val="20"/>
          <w:color w:val="auto"/>
        </w:rPr>
      </w:pPr>
    </w:p>
    <w:p>
      <w:pPr>
        <w:ind w:left="1260" w:right="1099"/>
        <w:spacing w:after="0" w:line="263" w:lineRule="auto"/>
        <w:rPr>
          <w:sz w:val="20"/>
          <w:szCs w:val="20"/>
          <w:color w:val="auto"/>
        </w:rPr>
      </w:pPr>
      <w:r>
        <w:rPr>
          <w:rFonts w:ascii="Arial" w:cs="Arial" w:eastAsia="Arial" w:hAnsi="Arial"/>
          <w:sz w:val="18"/>
          <w:szCs w:val="18"/>
          <w:b w:val="1"/>
          <w:bCs w:val="1"/>
          <w:i w:val="1"/>
          <w:iCs w:val="1"/>
          <w:color w:val="auto"/>
        </w:rPr>
        <w:t>The price of our Common Stock may be volatile, and you may be unable to sell your Common Stock at or above the offering price.</w:t>
      </w:r>
    </w:p>
    <w:p>
      <w:pPr>
        <w:spacing w:after="0" w:line="71" w:lineRule="exact"/>
        <w:rPr>
          <w:sz w:val="20"/>
          <w:szCs w:val="20"/>
          <w:color w:val="auto"/>
        </w:rPr>
      </w:pPr>
    </w:p>
    <w:p>
      <w:pPr>
        <w:jc w:val="both"/>
        <w:ind w:left="1260" w:right="539"/>
        <w:spacing w:after="0" w:line="284" w:lineRule="auto"/>
        <w:rPr>
          <w:sz w:val="20"/>
          <w:szCs w:val="20"/>
          <w:color w:val="auto"/>
        </w:rPr>
      </w:pPr>
      <w:r>
        <w:rPr>
          <w:rFonts w:ascii="Arial" w:cs="Arial" w:eastAsia="Arial" w:hAnsi="Arial"/>
          <w:sz w:val="18"/>
          <w:szCs w:val="18"/>
          <w:color w:val="auto"/>
        </w:rPr>
        <w:t>The market price of our Common Stock may be volatile and could be subject to wide fluctuations in response to many risk factors listed in this section and in the accompanying base prospectus, and others beyond our control.</w:t>
      </w:r>
    </w:p>
    <w:p>
      <w:pPr>
        <w:spacing w:after="0" w:line="89"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public offering price, you may not realize any return on your investment and may lose some or all of your investment.</w:t>
      </w:r>
    </w:p>
    <w:p>
      <w:pPr>
        <w:spacing w:after="0" w:line="165" w:lineRule="exact"/>
        <w:rPr>
          <w:sz w:val="20"/>
          <w:szCs w:val="20"/>
          <w:color w:val="auto"/>
        </w:rPr>
      </w:pPr>
    </w:p>
    <w:p>
      <w:pPr>
        <w:ind w:left="1260" w:right="719"/>
        <w:spacing w:after="0" w:line="241" w:lineRule="auto"/>
        <w:rPr>
          <w:sz w:val="20"/>
          <w:szCs w:val="20"/>
          <w:color w:val="auto"/>
        </w:rPr>
      </w:pPr>
      <w:r>
        <w:rPr>
          <w:rFonts w:ascii="Arial" w:cs="Arial" w:eastAsia="Arial" w:hAnsi="Arial"/>
          <w:sz w:val="18"/>
          <w:szCs w:val="18"/>
          <w:b w:val="1"/>
          <w:bCs w:val="1"/>
          <w:i w:val="1"/>
          <w:iCs w:val="1"/>
          <w:color w:val="auto"/>
        </w:rPr>
        <w:t>Sales of a substantial number of our securities in the public market by the selling shareholders and/or by our existing shareholders could cause the price of our Common Stock to fall.</w:t>
      </w:r>
    </w:p>
    <w:p>
      <w:pPr>
        <w:spacing w:after="0" w:line="103"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In connection with this offering, our executive officers and directors, the selling shareholders and certain other shareholders have entered into lock-up agreements, on substantially similar terms, which expire 60 days from the date of this prospectus supplement with respect to our executive officers, directors and certain other shareholders, and 90 days from the date of this prospectus supplement with respect to the selling shareholders. J.P. Morgan Securities LLC, at any time and without notice, may release all or any portion of the Common Stock subject to the foregoing lock-up agreements. See “Underwriting” for more information on these agreements. If the restrictions under the lock-up agreements are waived, then the Common Stock held by such holders subject to lock-up agreements, subject to compliance with the Securities Act or exceptions therefrom, will be available for sale into the public markets. The market price of our Common Stock could decline as a result of sales of a large number of shares in the market after the expiration or early release of the lock-up period or even the perception that these sales could occur.</w:t>
      </w:r>
    </w:p>
    <w:p>
      <w:pPr>
        <w:spacing w:after="0" w:line="183" w:lineRule="exact"/>
        <w:rPr>
          <w:sz w:val="20"/>
          <w:szCs w:val="20"/>
          <w:color w:val="auto"/>
        </w:rPr>
      </w:pPr>
    </w:p>
    <w:p>
      <w:pPr>
        <w:ind w:left="1260" w:right="519"/>
        <w:spacing w:after="0" w:line="232" w:lineRule="auto"/>
        <w:rPr>
          <w:sz w:val="20"/>
          <w:szCs w:val="20"/>
          <w:color w:val="auto"/>
        </w:rPr>
      </w:pPr>
      <w:r>
        <w:rPr>
          <w:rFonts w:ascii="Arial" w:cs="Arial" w:eastAsia="Arial" w:hAnsi="Arial"/>
          <w:sz w:val="18"/>
          <w:szCs w:val="18"/>
          <w:b w:val="1"/>
          <w:bCs w:val="1"/>
          <w:i w:val="1"/>
          <w:iCs w:val="1"/>
          <w:color w:val="auto"/>
        </w:rPr>
        <w:t>Certain of the selling shareholders acquired their shares at a price that is less than the market price of our Common Stock as of the date of this prospectus supplement. As a result, such selling shareholders may earn a positive rate of return even if the price of our Common Stock declines and may be willing to sell their shares at a price less than shareholders that acquired our shares in the public market.</w:t>
      </w:r>
    </w:p>
    <w:p>
      <w:pPr>
        <w:spacing w:after="0" w:line="105" w:lineRule="exact"/>
        <w:rPr>
          <w:sz w:val="20"/>
          <w:szCs w:val="20"/>
          <w:color w:val="auto"/>
        </w:rPr>
      </w:pPr>
    </w:p>
    <w:p>
      <w:pPr>
        <w:ind w:left="1260" w:right="519"/>
        <w:spacing w:after="0" w:line="265" w:lineRule="auto"/>
        <w:rPr>
          <w:sz w:val="20"/>
          <w:szCs w:val="20"/>
          <w:color w:val="auto"/>
        </w:rPr>
      </w:pPr>
      <w:r>
        <w:rPr>
          <w:rFonts w:ascii="Arial" w:cs="Arial" w:eastAsia="Arial" w:hAnsi="Arial"/>
          <w:sz w:val="18"/>
          <w:szCs w:val="18"/>
          <w:color w:val="auto"/>
        </w:rPr>
        <w:t>Certain of our shareholders purchased their respective shares of Common Stock at prices lower than current market prices and may therefore experience a positive rate of return on their investment, even if our public shareholders experience a negative rate of return on their investment. The closing price of our Common Stock on Nasdaq on October 28, 2024 was $35.75 per share. Based on the prices paid by certain of our shareholders they would be able to recognize a greater return on their investment than shareholders that purchased our Common Stock in the public market. Furthermore, such shareholders may earn a positive rate of return even if the</w:t>
      </w:r>
    </w:p>
    <w:p>
      <w:pPr>
        <w:sectPr>
          <w:pgSz w:w="11900" w:h="16838" w:orient="portrait"/>
          <w:cols w:equalWidth="0" w:num="1">
            <w:col w:w="9879"/>
          </w:cols>
          <w:pgMar w:left="580" w:top="97" w:right="1440" w:bottom="9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32"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19"/>
        <w:spacing w:after="0" w:line="279" w:lineRule="auto"/>
        <w:rPr>
          <w:sz w:val="20"/>
          <w:szCs w:val="20"/>
          <w:color w:val="auto"/>
        </w:rPr>
      </w:pPr>
      <w:r>
        <w:rPr>
          <w:rFonts w:ascii="Arial" w:cs="Arial" w:eastAsia="Arial" w:hAnsi="Arial"/>
          <w:sz w:val="18"/>
          <w:szCs w:val="18"/>
          <w:color w:val="auto"/>
        </w:rPr>
        <w:t>price of our Common Stock declines significantly. As a result, such shareholders may be willing to sell their shares at a price less than shareholders that acquired our shares in the public market or at higher prices than the price paid by such shareholders. The sale or possibility of sale of these shares of Common Stock, including those pursuant to this prospectus supplement, could have the effect of increasing the volatility in the price of the Common Stock or putting significant downward pressure on the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Use of proceeds</w:t>
      </w:r>
    </w:p>
    <w:p>
      <w:pPr>
        <w:spacing w:after="0" w:line="168" w:lineRule="exact"/>
        <w:rPr>
          <w:sz w:val="20"/>
          <w:szCs w:val="20"/>
          <w:color w:val="auto"/>
        </w:rPr>
      </w:pPr>
    </w:p>
    <w:p>
      <w:pPr>
        <w:ind w:left="1260" w:right="519"/>
        <w:spacing w:after="0" w:line="275" w:lineRule="auto"/>
        <w:rPr>
          <w:sz w:val="20"/>
          <w:szCs w:val="20"/>
          <w:color w:val="auto"/>
        </w:rPr>
      </w:pPr>
      <w:r>
        <w:rPr>
          <w:rFonts w:ascii="Arial" w:cs="Arial" w:eastAsia="Arial" w:hAnsi="Arial"/>
          <w:sz w:val="18"/>
          <w:szCs w:val="18"/>
          <w:color w:val="auto"/>
        </w:rPr>
        <w:t>All of the shares of Common Stock being offered hereby are being sold by the selling stockholders identified in this prospectus supplement. We will not receive any proceeds from the sale of our shares of Common Stock by the selling stockholders. The selling stockholders will receive all of the net proceeds from this offering, including any sales by the selling stockholders pursuant to an exercise by the underwriters of their option to purchase additional shares. We will bear all costs, fees and expenses in connection with this offering, except that each of the selling shareholders will pay all of its respective underwriting discounts and commissions. See “Selling Shareholders” and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Selling shareholders</w:t>
      </w:r>
    </w:p>
    <w:p>
      <w:pPr>
        <w:spacing w:after="0" w:line="168" w:lineRule="exact"/>
        <w:rPr>
          <w:sz w:val="20"/>
          <w:szCs w:val="20"/>
          <w:color w:val="auto"/>
        </w:rPr>
      </w:pPr>
    </w:p>
    <w:p>
      <w:pPr>
        <w:ind w:left="1260" w:right="419"/>
        <w:spacing w:after="0" w:line="276" w:lineRule="auto"/>
        <w:rPr>
          <w:sz w:val="20"/>
          <w:szCs w:val="20"/>
          <w:color w:val="auto"/>
        </w:rPr>
      </w:pPr>
      <w:r>
        <w:rPr>
          <w:rFonts w:ascii="Arial" w:cs="Arial" w:eastAsia="Arial" w:hAnsi="Arial"/>
          <w:sz w:val="18"/>
          <w:szCs w:val="18"/>
          <w:color w:val="auto"/>
        </w:rPr>
        <w:t>The following table presents information regarding the selling shareholders in this offering, the Common Stock that the underwriter has agreed to purchase from the selling shareholders and the Common Stock subject to the underwriter’s option to purchase additional shares from the selling shareholders. We have paid all expenses relating to the registration of the shares by the selling shareholders under the Securities Act and will pay all other offering expenses, except that the selling shareholders will pay all underwriting discounts and commissions. We will not receive any proceeds from the sale of our shares of Common Stock by the selling shareholders in this offering.</w:t>
      </w:r>
    </w:p>
    <w:p>
      <w:pPr>
        <w:spacing w:after="0" w:line="345"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The following table sets forth information as of October 25, 2024, provided by the selling shareholders, regarding the beneficial ownership of shares of our Common Stock and the number of shares of our Common Stock the selling shareholders have offered to sell in this offering. We have determined beneficial ownership in accordance with SEC rules. In computing the number of shares beneficially owned by the selling shareholders and the percentage ownership of the selling shareholders, the number of shares of Common Stock subject to options or warrants held by the selling shareholders that are currently exercisable or that will become exercisable within 60 days of October 25, 2024 are deemed outstanding.</w:t>
      </w:r>
    </w:p>
    <w:p>
      <w:pPr>
        <w:spacing w:after="0" w:line="114" w:lineRule="exact"/>
        <w:rPr>
          <w:sz w:val="20"/>
          <w:szCs w:val="20"/>
          <w:color w:val="auto"/>
        </w:rPr>
      </w:pPr>
    </w:p>
    <w:p>
      <w:pPr>
        <w:ind w:left="1260" w:right="879"/>
        <w:spacing w:after="0" w:line="283" w:lineRule="auto"/>
        <w:rPr>
          <w:sz w:val="20"/>
          <w:szCs w:val="20"/>
          <w:color w:val="auto"/>
        </w:rPr>
      </w:pPr>
      <w:r>
        <w:rPr>
          <w:rFonts w:ascii="Arial" w:cs="Arial" w:eastAsia="Arial" w:hAnsi="Arial"/>
          <w:sz w:val="18"/>
          <w:szCs w:val="18"/>
          <w:color w:val="auto"/>
        </w:rPr>
        <w:t>The percentages reflect beneficial ownership immediately prior, and immediately after giving effect, to completion of the offering, based on 57,031,297 shares of our Common Stock outstanding as of October 25, 2024, which includes an aggregate of 8,000,000 shares of Common Stock to be sold by the selling shareholders (or an aggregate of 9,200,000 shares assuming full exercise of the underwriter’s option).</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Shares Beneficially</w:t>
            </w: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Additional</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Shares Beneficially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Owned After Offering</w:t>
            </w: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8"/>
              </w:rPr>
              <w:t>Owned After</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Assuming the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Offering if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Offered if</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Underwriter’s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the Underwriter’s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 to</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Option to</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Option to</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Purchase</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gridSpan w:val="4"/>
            <w:vMerge w:val="restart"/>
          </w:tcPr>
          <w:p>
            <w:pPr>
              <w:jc w:val="right"/>
              <w:ind w:right="20"/>
              <w:spacing w:after="0"/>
              <w:rPr>
                <w:sz w:val="20"/>
                <w:szCs w:val="20"/>
                <w:color w:val="auto"/>
              </w:rPr>
            </w:pPr>
            <w:r>
              <w:rPr>
                <w:rFonts w:ascii="Arial" w:cs="Arial" w:eastAsia="Arial" w:hAnsi="Arial"/>
                <w:sz w:val="13"/>
                <w:szCs w:val="13"/>
                <w:b w:val="1"/>
                <w:bCs w:val="1"/>
                <w:color w:val="auto"/>
              </w:rPr>
              <w:t>Shares Beneficially</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Purchase Additional</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Purchase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gridSpan w:val="4"/>
            <w:vMerge w:val="restart"/>
          </w:tcPr>
          <w:p>
            <w:pPr>
              <w:jc w:val="right"/>
              <w:ind w:right="20"/>
              <w:spacing w:after="0"/>
              <w:rPr>
                <w:sz w:val="20"/>
                <w:szCs w:val="20"/>
                <w:color w:val="auto"/>
              </w:rPr>
            </w:pPr>
            <w:r>
              <w:rPr>
                <w:rFonts w:ascii="Arial" w:cs="Arial" w:eastAsia="Arial" w:hAnsi="Arial"/>
                <w:sz w:val="13"/>
                <w:szCs w:val="13"/>
                <w:b w:val="1"/>
                <w:bCs w:val="1"/>
                <w:color w:val="auto"/>
              </w:rPr>
              <w:t>Owned Prior to</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Shares is Not</w:t>
            </w: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Additional Shares is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 is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740" w:type="dxa"/>
            <w:vAlign w:val="bottom"/>
            <w:vMerge w:val="restart"/>
          </w:tcPr>
          <w:p>
            <w:pPr>
              <w:spacing w:after="0"/>
              <w:rPr>
                <w:sz w:val="20"/>
                <w:szCs w:val="20"/>
                <w:color w:val="auto"/>
              </w:rPr>
            </w:pPr>
            <w:r>
              <w:rPr>
                <w:rFonts w:ascii="Arial" w:cs="Arial" w:eastAsia="Arial" w:hAnsi="Arial"/>
                <w:sz w:val="13"/>
                <w:szCs w:val="13"/>
                <w:b w:val="1"/>
                <w:bCs w:val="1"/>
                <w:color w:val="auto"/>
              </w:rPr>
              <w:t>Name of Selling</w:t>
            </w:r>
          </w:p>
        </w:tc>
        <w:tc>
          <w:tcPr>
            <w:tcW w:w="40" w:type="dxa"/>
            <w:vAlign w:val="bottom"/>
          </w:tcPr>
          <w:p>
            <w:pPr>
              <w:spacing w:after="0"/>
              <w:rPr>
                <w:sz w:val="7"/>
                <w:szCs w:val="7"/>
                <w:color w:val="auto"/>
              </w:rPr>
            </w:pPr>
          </w:p>
        </w:tc>
        <w:tc>
          <w:tcPr>
            <w:tcW w:w="2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Offering</w:t>
            </w:r>
          </w:p>
        </w:tc>
        <w:tc>
          <w:tcPr>
            <w:tcW w:w="120" w:type="dxa"/>
            <w:vAlign w:val="bottom"/>
          </w:tcPr>
          <w:p>
            <w:pPr>
              <w:jc w:val="right"/>
              <w:spacing w:after="0" w:line="86" w:lineRule="exact"/>
              <w:rPr>
                <w:sz w:val="20"/>
                <w:szCs w:val="20"/>
                <w:color w:val="auto"/>
              </w:rPr>
            </w:pPr>
            <w:r>
              <w:rPr>
                <w:rFonts w:ascii="Arial" w:cs="Arial" w:eastAsia="Arial" w:hAnsi="Arial"/>
                <w:sz w:val="8"/>
                <w:szCs w:val="8"/>
                <w:b w:val="1"/>
                <w:bCs w:val="1"/>
                <w:color w:val="auto"/>
                <w:w w:val="81"/>
              </w:rPr>
              <w:t>(1)</w:t>
            </w:r>
          </w:p>
        </w:tc>
        <w:tc>
          <w:tcPr>
            <w:tcW w:w="40" w:type="dxa"/>
            <w:vAlign w:val="bottom"/>
          </w:tcPr>
          <w:p>
            <w:pPr>
              <w:spacing w:after="0"/>
              <w:rPr>
                <w:sz w:val="7"/>
                <w:szCs w:val="7"/>
                <w:color w:val="auto"/>
              </w:rPr>
            </w:pPr>
          </w:p>
        </w:tc>
        <w:tc>
          <w:tcPr>
            <w:tcW w:w="1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7"/>
                <w:szCs w:val="7"/>
                <w:color w:val="auto"/>
              </w:rPr>
            </w:pPr>
          </w:p>
        </w:tc>
        <w:tc>
          <w:tcPr>
            <w:tcW w:w="720" w:type="dxa"/>
            <w:vAlign w:val="bottom"/>
            <w:vMerge w:val="restart"/>
          </w:tcPr>
          <w:p>
            <w:pPr>
              <w:jc w:val="right"/>
              <w:ind w:right="575"/>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97"/>
              </w:rPr>
              <w:t>Exercised</w:t>
            </w:r>
          </w:p>
        </w:tc>
        <w:tc>
          <w:tcPr>
            <w:tcW w:w="100" w:type="dxa"/>
            <w:vAlign w:val="bottom"/>
          </w:tcPr>
          <w:p>
            <w:pPr>
              <w:jc w:val="right"/>
              <w:spacing w:after="0" w:line="86" w:lineRule="exact"/>
              <w:rPr>
                <w:sz w:val="20"/>
                <w:szCs w:val="20"/>
                <w:color w:val="auto"/>
              </w:rPr>
            </w:pPr>
            <w:r>
              <w:rPr>
                <w:rFonts w:ascii="Arial" w:cs="Arial" w:eastAsia="Arial" w:hAnsi="Arial"/>
                <w:sz w:val="8"/>
                <w:szCs w:val="8"/>
                <w:b w:val="1"/>
                <w:bCs w:val="1"/>
                <w:color w:val="auto"/>
                <w:w w:val="81"/>
              </w:rPr>
              <w:t>(2)</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vMerge w:val="restart"/>
          </w:tcPr>
          <w:p>
            <w:pPr>
              <w:jc w:val="right"/>
              <w:ind w:right="11"/>
              <w:spacing w:after="0"/>
              <w:rPr>
                <w:sz w:val="20"/>
                <w:szCs w:val="20"/>
                <w:color w:val="auto"/>
              </w:rPr>
            </w:pPr>
            <w:r>
              <w:rPr>
                <w:rFonts w:ascii="Arial" w:cs="Arial" w:eastAsia="Arial" w:hAnsi="Arial"/>
                <w:sz w:val="13"/>
                <w:szCs w:val="13"/>
                <w:b w:val="1"/>
                <w:bCs w:val="1"/>
                <w:color w:val="auto"/>
              </w:rPr>
              <w:t>​</w:t>
            </w:r>
          </w:p>
        </w:tc>
        <w:tc>
          <w:tcPr>
            <w:tcW w:w="12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Exercised in Full</w:t>
            </w:r>
          </w:p>
        </w:tc>
        <w:tc>
          <w:tcPr>
            <w:tcW w:w="100" w:type="dxa"/>
            <w:vAlign w:val="bottom"/>
          </w:tcPr>
          <w:p>
            <w:pPr>
              <w:jc w:val="right"/>
              <w:spacing w:after="0" w:line="86" w:lineRule="exact"/>
              <w:rPr>
                <w:sz w:val="20"/>
                <w:szCs w:val="20"/>
                <w:color w:val="auto"/>
              </w:rPr>
            </w:pPr>
            <w:r>
              <w:rPr>
                <w:rFonts w:ascii="Arial" w:cs="Arial" w:eastAsia="Arial" w:hAnsi="Arial"/>
                <w:sz w:val="8"/>
                <w:szCs w:val="8"/>
                <w:b w:val="1"/>
                <w:bCs w:val="1"/>
                <w:color w:val="auto"/>
                <w:w w:val="81"/>
              </w:rPr>
              <w:t>(2)</w:t>
            </w:r>
          </w:p>
        </w:tc>
        <w:tc>
          <w:tcPr>
            <w:tcW w:w="14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2"/>
        </w:trPr>
        <w:tc>
          <w:tcPr>
            <w:tcW w:w="1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vertAlign w:val="superscript"/>
              </w:rPr>
              <w:t>​</w:t>
            </w:r>
            <w:r>
              <w:rPr>
                <w:rFonts w:ascii="Arial" w:cs="Arial" w:eastAsia="Arial" w:hAnsi="Arial"/>
                <w:sz w:val="8"/>
                <w:szCs w:val="8"/>
                <w:b w:val="1"/>
                <w:bCs w:val="1"/>
                <w:color w:val="auto"/>
              </w:rPr>
              <w:t xml:space="preserve"> Exercised</w:t>
            </w:r>
          </w:p>
        </w:tc>
        <w:tc>
          <w:tcPr>
            <w:tcW w:w="6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3"/>
                <w:szCs w:val="13"/>
                <w:b w:val="1"/>
                <w:bCs w:val="1"/>
                <w:color w:val="auto"/>
              </w:rPr>
              <w:t>Shareholder</w:t>
            </w:r>
          </w:p>
        </w:tc>
        <w:tc>
          <w:tcPr>
            <w:tcW w:w="4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 ​</w:t>
            </w:r>
          </w:p>
        </w:tc>
        <w:tc>
          <w:tcPr>
            <w:tcW w:w="1660" w:type="dxa"/>
            <w:vAlign w:val="bottom"/>
            <w:gridSpan w:val="6"/>
          </w:tcPr>
          <w:p>
            <w:pPr>
              <w:ind w:left="100"/>
              <w:spacing w:after="0" w:line="223"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Percentage </w:t>
            </w:r>
            <w:r>
              <w:rPr>
                <w:rFonts w:ascii="Arial" w:cs="Arial" w:eastAsia="Arial" w:hAnsi="Arial"/>
                <w:sz w:val="25"/>
                <w:szCs w:val="25"/>
                <w:b w:val="1"/>
                <w:bCs w:val="1"/>
                <w:color w:val="auto"/>
                <w:vertAlign w:val="subscript"/>
              </w:rPr>
              <w:t>​ ​</w:t>
            </w:r>
          </w:p>
        </w:tc>
        <w:tc>
          <w:tcPr>
            <w:tcW w:w="2320" w:type="dxa"/>
            <w:vAlign w:val="bottom"/>
            <w:gridSpan w:val="8"/>
          </w:tcPr>
          <w:p>
            <w:pPr>
              <w:ind w:left="60"/>
              <w:spacing w:after="0" w:line="223" w:lineRule="exact"/>
              <w:rPr>
                <w:sz w:val="20"/>
                <w:szCs w:val="20"/>
                <w:color w:val="auto"/>
              </w:rPr>
            </w:pPr>
            <w:r>
              <w:rPr>
                <w:rFonts w:ascii="Arial" w:cs="Arial" w:eastAsia="Arial" w:hAnsi="Arial"/>
                <w:sz w:val="13"/>
                <w:szCs w:val="13"/>
                <w:b w:val="1"/>
                <w:bCs w:val="1"/>
                <w:color w:val="auto"/>
              </w:rPr>
              <w:t xml:space="preserve">Offered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Number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Percentage </w:t>
            </w:r>
            <w:r>
              <w:rPr>
                <w:rFonts w:ascii="Arial" w:cs="Arial" w:eastAsia="Arial" w:hAnsi="Arial"/>
                <w:sz w:val="25"/>
                <w:szCs w:val="25"/>
                <w:b w:val="1"/>
                <w:bCs w:val="1"/>
                <w:color w:val="auto"/>
                <w:vertAlign w:val="subscript"/>
              </w:rPr>
              <w:t>​ ​</w:t>
            </w:r>
          </w:p>
        </w:tc>
        <w:tc>
          <w:tcPr>
            <w:tcW w:w="860" w:type="dxa"/>
            <w:vAlign w:val="bottom"/>
            <w:gridSpan w:val="3"/>
          </w:tcPr>
          <w:p>
            <w:pPr>
              <w:jc w:val="right"/>
              <w:ind w:right="11"/>
              <w:spacing w:after="0" w:line="223" w:lineRule="exact"/>
              <w:rPr>
                <w:sz w:val="20"/>
                <w:szCs w:val="20"/>
                <w:color w:val="auto"/>
              </w:rPr>
            </w:pPr>
            <w:r>
              <w:rPr>
                <w:rFonts w:ascii="Arial" w:cs="Arial" w:eastAsia="Arial" w:hAnsi="Arial"/>
                <w:sz w:val="13"/>
                <w:szCs w:val="13"/>
                <w:b w:val="1"/>
                <w:bCs w:val="1"/>
                <w:color w:val="auto"/>
              </w:rPr>
              <w:t xml:space="preserve">in Full </w:t>
            </w:r>
            <w:r>
              <w:rPr>
                <w:rFonts w:ascii="Arial" w:cs="Arial" w:eastAsia="Arial" w:hAnsi="Arial"/>
                <w:sz w:val="25"/>
                <w:szCs w:val="25"/>
                <w:b w:val="1"/>
                <w:bCs w:val="1"/>
                <w:color w:val="auto"/>
                <w:vertAlign w:val="subscript"/>
              </w:rPr>
              <w:t>​ ​</w:t>
            </w:r>
          </w:p>
        </w:tc>
        <w:tc>
          <w:tcPr>
            <w:tcW w:w="1520" w:type="dxa"/>
            <w:vAlign w:val="bottom"/>
            <w:gridSpan w:val="5"/>
          </w:tcPr>
          <w:p>
            <w:pPr>
              <w:jc w:val="right"/>
              <w:ind w:right="50"/>
              <w:spacing w:after="0" w:line="223"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Percentage</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40" w:type="dxa"/>
            <w:vAlign w:val="bottom"/>
          </w:tcPr>
          <w:p>
            <w:pPr>
              <w:spacing w:after="0" w:line="155" w:lineRule="exact"/>
              <w:rPr>
                <w:sz w:val="20"/>
                <w:szCs w:val="20"/>
                <w:color w:val="auto"/>
              </w:rPr>
            </w:pPr>
            <w:r>
              <w:rPr>
                <w:rFonts w:ascii="Arial" w:cs="Arial" w:eastAsia="Arial" w:hAnsi="Arial"/>
                <w:sz w:val="14"/>
                <w:szCs w:val="14"/>
                <w:color w:val="auto"/>
              </w:rPr>
              <w:t>Marshman Fund Trust II</w:t>
            </w:r>
            <w:r>
              <w:rPr>
                <w:rFonts w:ascii="Arial" w:cs="Arial" w:eastAsia="Arial" w:hAnsi="Arial"/>
                <w:sz w:val="17"/>
                <w:szCs w:val="17"/>
                <w:color w:val="auto"/>
                <w:vertAlign w:val="superscript"/>
              </w:rPr>
              <w:t>(3)</w:t>
            </w:r>
          </w:p>
        </w:tc>
        <w:tc>
          <w:tcPr>
            <w:tcW w:w="40" w:type="dxa"/>
            <w:vAlign w:val="bottom"/>
          </w:tcPr>
          <w:p>
            <w:pPr>
              <w:spacing w:after="0"/>
              <w:rPr>
                <w:sz w:val="13"/>
                <w:szCs w:val="13"/>
                <w:color w:val="auto"/>
              </w:rPr>
            </w:pPr>
          </w:p>
        </w:tc>
        <w:tc>
          <w:tcPr>
            <w:tcW w:w="8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​10,651,120</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440" w:type="dxa"/>
            <w:vAlign w:val="bottom"/>
            <w:gridSpan w:val="5"/>
          </w:tcPr>
          <w:p>
            <w:pPr>
              <w:ind w:left="320"/>
              <w:spacing w:after="0" w:line="155" w:lineRule="exact"/>
              <w:rPr>
                <w:sz w:val="20"/>
                <w:szCs w:val="20"/>
                <w:color w:val="auto"/>
              </w:rPr>
            </w:pPr>
            <w:r>
              <w:rPr>
                <w:rFonts w:ascii="Arial" w:cs="Arial" w:eastAsia="Arial" w:hAnsi="Arial"/>
                <w:sz w:val="14"/>
                <w:szCs w:val="14"/>
                <w:color w:val="auto"/>
              </w:rPr>
              <w:t>​ 18.7%​4,000,000</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​6,651,120</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4"/>
          </w:tcPr>
          <w:p>
            <w:pPr>
              <w:ind w:left="320"/>
              <w:spacing w:after="0" w:line="155" w:lineRule="exact"/>
              <w:rPr>
                <w:sz w:val="20"/>
                <w:szCs w:val="20"/>
                <w:color w:val="auto"/>
              </w:rPr>
            </w:pPr>
            <w:r>
              <w:rPr>
                <w:rFonts w:ascii="Arial" w:cs="Arial" w:eastAsia="Arial" w:hAnsi="Arial"/>
                <w:sz w:val="14"/>
                <w:szCs w:val="14"/>
                <w:color w:val="auto"/>
              </w:rPr>
              <w:t>​ 11.7%​</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600,000</w:t>
            </w:r>
          </w:p>
        </w:tc>
        <w:tc>
          <w:tcPr>
            <w:tcW w:w="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​6,051,120</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 10.6%</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240" w:type="dxa"/>
            <w:vAlign w:val="bottom"/>
            <w:gridSpan w:val="2"/>
          </w:tcPr>
          <w:p>
            <w:pPr>
              <w:jc w:val="right"/>
              <w:ind w:right="33"/>
              <w:spacing w:after="0" w:line="95"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560" w:type="dxa"/>
            <w:vAlign w:val="bottom"/>
          </w:tcPr>
          <w:p>
            <w:pPr>
              <w:jc w:val="center"/>
              <w:ind w:left="21"/>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220" w:type="dxa"/>
            <w:vAlign w:val="bottom"/>
            <w:gridSpan w:val="2"/>
          </w:tcPr>
          <w:p>
            <w:pPr>
              <w:jc w:val="center"/>
              <w:spacing w:after="0" w:line="95"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8"/>
                <w:szCs w:val="8"/>
                <w:color w:val="auto"/>
              </w:rPr>
            </w:pPr>
          </w:p>
        </w:tc>
        <w:tc>
          <w:tcPr>
            <w:tcW w:w="780" w:type="dxa"/>
            <w:vAlign w:val="bottom"/>
            <w:gridSpan w:val="2"/>
          </w:tcPr>
          <w:p>
            <w:pPr>
              <w:jc w:val="right"/>
              <w:ind w:right="555"/>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560" w:type="dxa"/>
            <w:vAlign w:val="bottom"/>
          </w:tcPr>
          <w:p>
            <w:pPr>
              <w:ind w:left="280"/>
              <w:spacing w:after="0" w:line="9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0" w:type="dxa"/>
            <w:vAlign w:val="bottom"/>
            <w:gridSpan w:val="2"/>
          </w:tcPr>
          <w:p>
            <w:pPr>
              <w:ind w:left="20"/>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22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tcPr>
          <w:p>
            <w:pPr>
              <w:ind w:left="320"/>
              <w:spacing w:after="0" w:line="9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40" w:type="dxa"/>
            <w:vAlign w:val="bottom"/>
          </w:tcPr>
          <w:p>
            <w:pPr>
              <w:jc w:val="right"/>
              <w:ind w:right="50"/>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4"/>
                <w:szCs w:val="14"/>
                <w:color w:val="auto"/>
              </w:rPr>
              <w:t>Valor IV Pharma</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140"/>
              <w:spacing w:after="0" w:line="172" w:lineRule="exact"/>
              <w:rPr>
                <w:sz w:val="20"/>
                <w:szCs w:val="20"/>
                <w:color w:val="auto"/>
              </w:rPr>
            </w:pPr>
            <w:r>
              <w:rPr>
                <w:rFonts w:ascii="Arial" w:cs="Arial" w:eastAsia="Arial" w:hAnsi="Arial"/>
                <w:sz w:val="14"/>
                <w:szCs w:val="14"/>
                <w:color w:val="auto"/>
              </w:rPr>
              <w:t>Holdings, LLC</w:t>
            </w:r>
            <w:r>
              <w:rPr>
                <w:rFonts w:ascii="Arial" w:cs="Arial" w:eastAsia="Arial" w:hAnsi="Arial"/>
                <w:sz w:val="17"/>
                <w:szCs w:val="17"/>
                <w:color w:val="auto"/>
                <w:vertAlign w:val="superscript"/>
              </w:rPr>
              <w:t>(4)</w:t>
            </w:r>
          </w:p>
        </w:tc>
        <w:tc>
          <w:tcPr>
            <w:tcW w:w="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​11,218,033</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440" w:type="dxa"/>
            <w:vAlign w:val="bottom"/>
            <w:gridSpan w:val="5"/>
          </w:tcPr>
          <w:p>
            <w:pPr>
              <w:ind w:left="320"/>
              <w:spacing w:after="0"/>
              <w:rPr>
                <w:sz w:val="20"/>
                <w:szCs w:val="20"/>
                <w:color w:val="auto"/>
              </w:rPr>
            </w:pPr>
            <w:r>
              <w:rPr>
                <w:rFonts w:ascii="Arial" w:cs="Arial" w:eastAsia="Arial" w:hAnsi="Arial"/>
                <w:sz w:val="14"/>
                <w:szCs w:val="14"/>
                <w:color w:val="auto"/>
              </w:rPr>
              <w:t>​ 19.7%​4,000,000</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​7,218,033</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4"/>
          </w:tcPr>
          <w:p>
            <w:pPr>
              <w:ind w:left="320"/>
              <w:spacing w:after="0"/>
              <w:rPr>
                <w:sz w:val="20"/>
                <w:szCs w:val="20"/>
                <w:color w:val="auto"/>
              </w:rPr>
            </w:pPr>
            <w:r>
              <w:rPr>
                <w:rFonts w:ascii="Arial" w:cs="Arial" w:eastAsia="Arial" w:hAnsi="Arial"/>
                <w:sz w:val="14"/>
                <w:szCs w:val="14"/>
                <w:color w:val="auto"/>
              </w:rPr>
              <w:t>​ 12.7%​</w:t>
            </w:r>
          </w:p>
        </w:tc>
        <w:tc>
          <w:tcPr>
            <w:tcW w:w="640" w:type="dxa"/>
            <w:vAlign w:val="bottom"/>
          </w:tcPr>
          <w:p>
            <w:pPr>
              <w:jc w:val="right"/>
              <w:spacing w:after="0"/>
              <w:rPr>
                <w:sz w:val="20"/>
                <w:szCs w:val="20"/>
                <w:color w:val="auto"/>
              </w:rPr>
            </w:pPr>
            <w:r>
              <w:rPr>
                <w:rFonts w:ascii="Arial" w:cs="Arial" w:eastAsia="Arial" w:hAnsi="Arial"/>
                <w:sz w:val="14"/>
                <w:szCs w:val="14"/>
                <w:color w:val="auto"/>
              </w:rPr>
              <w:t>600,000</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​6,618,033</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 11.6%</w:t>
            </w:r>
          </w:p>
        </w:tc>
        <w:tc>
          <w:tcPr>
            <w:tcW w:w="0" w:type="dxa"/>
            <w:vAlign w:val="bottom"/>
          </w:tcPr>
          <w:p>
            <w:pPr>
              <w:spacing w:after="0"/>
              <w:rPr>
                <w:sz w:val="1"/>
                <w:szCs w:val="1"/>
                <w:color w:val="auto"/>
              </w:rPr>
            </w:pPr>
          </w:p>
        </w:tc>
      </w:tr>
      <w:tr>
        <w:trPr>
          <w:trHeight w:val="68"/>
        </w:trPr>
        <w:tc>
          <w:tcPr>
            <w:tcW w:w="1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jc w:val="right"/>
              <w:ind w:right="33"/>
              <w:spacing w:after="0" w:line="68" w:lineRule="exact"/>
              <w:rPr>
                <w:sz w:val="20"/>
                <w:szCs w:val="20"/>
                <w:color w:val="auto"/>
              </w:rPr>
            </w:pPr>
            <w:r>
              <w:rPr>
                <w:rFonts w:ascii="Arial" w:cs="Arial" w:eastAsia="Arial" w:hAnsi="Arial"/>
                <w:sz w:val="7"/>
                <w:szCs w:val="7"/>
                <w:color w:val="auto"/>
              </w:rPr>
              <w:t>​​​</w:t>
            </w: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tcPr>
          <w:p>
            <w:pPr>
              <w:jc w:val="center"/>
              <w:ind w:left="21"/>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jc w:val="right"/>
              <w:ind w:right="555"/>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tcPr>
          <w:p>
            <w:pPr>
              <w:ind w:left="2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gridSpan w:val="2"/>
          </w:tcPr>
          <w:p>
            <w:pPr>
              <w:ind w:left="2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ind w:left="32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tcPr>
          <w:p>
            <w:pPr>
              <w:spacing w:after="0"/>
              <w:rPr>
                <w:sz w:val="5"/>
                <w:szCs w:val="5"/>
                <w:color w:val="auto"/>
              </w:rPr>
            </w:pPr>
          </w:p>
        </w:tc>
        <w:tc>
          <w:tcPr>
            <w:tcW w:w="140" w:type="dxa"/>
            <w:vAlign w:val="bottom"/>
          </w:tcPr>
          <w:p>
            <w:pPr>
              <w:jc w:val="right"/>
              <w:ind w:right="5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-462280</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5" w:lineRule="exact"/>
        <w:rPr>
          <w:sz w:val="20"/>
          <w:szCs w:val="20"/>
          <w:color w:val="auto"/>
        </w:rPr>
      </w:pPr>
    </w:p>
    <w:p>
      <w:pPr>
        <w:ind w:left="1480" w:hanging="220"/>
        <w:spacing w:after="0"/>
        <w:tabs>
          <w:tab w:leader="none" w:pos="1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the total number of shares of Common Stock beneficially owned by each selling shareholder.</w:t>
      </w:r>
    </w:p>
    <w:p>
      <w:pPr>
        <w:spacing w:after="0" w:line="66" w:lineRule="exact"/>
        <w:rPr>
          <w:rFonts w:ascii="Arial" w:cs="Arial" w:eastAsia="Arial" w:hAnsi="Arial"/>
          <w:sz w:val="13"/>
          <w:szCs w:val="13"/>
          <w:color w:val="auto"/>
        </w:rPr>
      </w:pPr>
    </w:p>
    <w:p>
      <w:pPr>
        <w:ind w:left="1260" w:right="659"/>
        <w:spacing w:after="0" w:line="292" w:lineRule="auto"/>
        <w:tabs>
          <w:tab w:leader="none" w:pos="1476"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Assumes that each selling shareholder disposes of all the Common Stock covered by this prospectus and does not acquire beneficial ownership of any additional shares of Common Stock.</w:t>
      </w:r>
    </w:p>
    <w:p>
      <w:pPr>
        <w:ind w:left="1260" w:right="459"/>
        <w:spacing w:after="0" w:line="274" w:lineRule="auto"/>
        <w:tabs>
          <w:tab w:leader="none" w:pos="1476"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10,651,120 shares of Common Stock held by Marshman Fund Trust II (the “Marshman Shares”). Charles Harris, Lisa Aronin and Greg Aronin serve as the trustees of Marshman Fund Trust II and as a result each may be deemed to beneficially own the Marshman Shares. Each of the trustees disclaims any such beneficial ownership of the Marshman Shares. The address for Marshman Fund Trust II is 2340 Collins Avenue, Suite 403, Miami Beach, FL 33139.</w:t>
      </w:r>
    </w:p>
    <w:p>
      <w:pPr>
        <w:spacing w:after="0" w:line="5" w:lineRule="exact"/>
        <w:rPr>
          <w:rFonts w:ascii="Arial" w:cs="Arial" w:eastAsia="Arial" w:hAnsi="Arial"/>
          <w:sz w:val="13"/>
          <w:szCs w:val="13"/>
          <w:color w:val="auto"/>
        </w:rPr>
      </w:pPr>
    </w:p>
    <w:p>
      <w:pPr>
        <w:jc w:val="both"/>
        <w:ind w:left="1260" w:right="439"/>
        <w:spacing w:after="0" w:line="266" w:lineRule="auto"/>
        <w:tabs>
          <w:tab w:leader="none" w:pos="1476" w:val="left"/>
        </w:tabs>
        <w:numPr>
          <w:ilvl w:val="0"/>
          <w:numId w:val="5"/>
        </w:numPr>
        <w:rPr>
          <w:rFonts w:ascii="Arial" w:cs="Arial" w:eastAsia="Arial" w:hAnsi="Arial"/>
          <w:sz w:val="13"/>
          <w:szCs w:val="13"/>
          <w:color w:val="auto"/>
        </w:rPr>
      </w:pPr>
      <w:r>
        <w:rPr>
          <w:rFonts w:ascii="Arial" w:cs="Arial" w:eastAsia="Arial" w:hAnsi="Arial"/>
          <w:sz w:val="13"/>
          <w:szCs w:val="13"/>
          <w:color w:val="auto"/>
        </w:rPr>
        <w:t>Valor IV Pharma Holdings, LLC is the holder of record of the shares reported in the table above. Valor Management L.P. is the managing member of Valor Equity Capital IV LLC, which is the general partner of Valor Equity Associates IV L.P., which, in turn, is the general partner of each of Valor Equity Partners IV L.P., Valor Equity Partners IV-A L.P. and Valor Equity Partners IV-B L.P.</w:t>
      </w:r>
    </w:p>
    <w:p>
      <w:pPr>
        <w:ind w:left="1260" w:right="419"/>
        <w:spacing w:after="0" w:line="265" w:lineRule="auto"/>
        <w:rPr>
          <w:rFonts w:ascii="Arial" w:cs="Arial" w:eastAsia="Arial" w:hAnsi="Arial"/>
          <w:sz w:val="13"/>
          <w:szCs w:val="13"/>
          <w:color w:val="auto"/>
        </w:rPr>
      </w:pPr>
      <w:r>
        <w:rPr>
          <w:rFonts w:ascii="Arial" w:cs="Arial" w:eastAsia="Arial" w:hAnsi="Arial"/>
          <w:sz w:val="13"/>
          <w:szCs w:val="13"/>
          <w:color w:val="auto"/>
        </w:rPr>
        <w:t>(collectively, the “Valor Funds”). The Valor Funds are the sole members of Valor IV Pharma Holdings, LLC. Antonio Gracias and Juan Sabater, both members of our board of directors, may each be deemed to share beneficial ownership over the shares of the Company (the “Valor Shares”) held of record by Valor IV Pharma Holdings, LLC by virtue of their positions with Valor Management L.P., and with respect to Mr. Gracias, his position with Valor IV Pharma Holdings, LLC; however, each disclaims beneficial ownership of the Valor Shares. The address of the Valor Funds, Antonio Gracias and Juan Sabater is 320 North Sangamon Street, Suite 1200, Chicago, IL 60607.</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79"/>
        <w:spacing w:after="0" w:line="268" w:lineRule="auto"/>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53"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acquired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346" w:lineRule="exact"/>
        <w:rPr>
          <w:sz w:val="20"/>
          <w:szCs w:val="20"/>
          <w:color w:val="auto"/>
        </w:rPr>
      </w:pPr>
    </w:p>
    <w:p>
      <w:pPr>
        <w:ind w:left="1260" w:right="519"/>
        <w:spacing w:after="0" w:line="27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84" w:lineRule="exact"/>
        <w:rPr>
          <w:sz w:val="20"/>
          <w:szCs w:val="20"/>
          <w:color w:val="auto"/>
        </w:rPr>
      </w:pPr>
    </w:p>
    <w:p>
      <w:pPr>
        <w:ind w:left="1400" w:hanging="1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400" w:right="419" w:hanging="140"/>
        <w:spacing w:after="0" w:line="303"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7" w:lineRule="exact"/>
        <w:rPr>
          <w:rFonts w:ascii="Arial" w:cs="Arial" w:eastAsia="Arial" w:hAnsi="Arial"/>
          <w:sz w:val="18"/>
          <w:szCs w:val="18"/>
          <w:color w:val="auto"/>
        </w:rPr>
      </w:pPr>
    </w:p>
    <w:p>
      <w:pPr>
        <w:ind w:left="1400" w:hanging="1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44" w:lineRule="exact"/>
        <w:rPr>
          <w:rFonts w:ascii="Arial" w:cs="Arial" w:eastAsia="Arial" w:hAnsi="Arial"/>
          <w:sz w:val="18"/>
          <w:szCs w:val="18"/>
          <w:color w:val="auto"/>
        </w:rPr>
      </w:pPr>
    </w:p>
    <w:p>
      <w:pPr>
        <w:ind w:left="1400" w:right="439" w:hanging="140"/>
        <w:spacing w:after="0" w:line="303"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7" w:lineRule="exact"/>
        <w:rPr>
          <w:rFonts w:ascii="Arial" w:cs="Arial" w:eastAsia="Arial" w:hAnsi="Arial"/>
          <w:sz w:val="18"/>
          <w:szCs w:val="18"/>
          <w:color w:val="auto"/>
        </w:rPr>
      </w:pPr>
    </w:p>
    <w:p>
      <w:pPr>
        <w:ind w:left="1400" w:right="619" w:hanging="140"/>
        <w:spacing w:after="0" w:line="303"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44" w:lineRule="exact"/>
        <w:rPr>
          <w:rFonts w:ascii="Arial" w:cs="Arial" w:eastAsia="Arial" w:hAnsi="Arial"/>
          <w:sz w:val="18"/>
          <w:szCs w:val="18"/>
          <w:color w:val="auto"/>
        </w:rPr>
      </w:pPr>
    </w:p>
    <w:p>
      <w:pPr>
        <w:ind w:left="1400" w:hanging="1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400" w:right="419" w:hanging="140"/>
        <w:spacing w:after="0" w:line="318"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31" w:lineRule="exact"/>
        <w:rPr>
          <w:rFonts w:ascii="Arial" w:cs="Arial" w:eastAsia="Arial" w:hAnsi="Arial"/>
          <w:sz w:val="18"/>
          <w:szCs w:val="18"/>
          <w:color w:val="auto"/>
        </w:rPr>
      </w:pPr>
    </w:p>
    <w:p>
      <w:pPr>
        <w:ind w:left="1400" w:hanging="1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30" w:lineRule="exact"/>
        <w:rPr>
          <w:rFonts w:ascii="Arial" w:cs="Arial" w:eastAsia="Arial" w:hAnsi="Arial"/>
          <w:sz w:val="18"/>
          <w:szCs w:val="18"/>
          <w:color w:val="auto"/>
        </w:rPr>
      </w:pPr>
    </w:p>
    <w:p>
      <w:pPr>
        <w:ind w:left="1400" w:right="659" w:hanging="140"/>
        <w:spacing w:after="0" w:line="318"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2"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If a partnership or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06" w:lineRule="exact"/>
        <w:rPr>
          <w:sz w:val="20"/>
          <w:szCs w:val="20"/>
          <w:color w:val="auto"/>
        </w:rPr>
      </w:pPr>
    </w:p>
    <w:p>
      <w:pPr>
        <w:ind w:left="1260" w:right="739"/>
        <w:spacing w:after="0" w:line="279" w:lineRule="auto"/>
        <w:rPr>
          <w:sz w:val="20"/>
          <w:szCs w:val="20"/>
          <w:color w:val="auto"/>
        </w:rPr>
      </w:pPr>
      <w:r>
        <w:rPr>
          <w:rFonts w:ascii="Arial" w:cs="Arial" w:eastAsia="Arial" w:hAnsi="Arial"/>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w:t>
      </w:r>
    </w:p>
    <w:p>
      <w:pPr>
        <w:sectPr>
          <w:pgSz w:w="11900" w:h="16838" w:orient="portrait"/>
          <w:cols w:equalWidth="0" w:num="1">
            <w:col w:w="9879"/>
          </w:cols>
          <w:pgMar w:left="580" w:top="97" w:right="1440" w:bottom="1440" w:gutter="0" w:footer="0" w:header="0"/>
        </w:sectPr>
      </w:pPr>
    </w:p>
    <w:p>
      <w:pPr>
        <w:spacing w:after="0" w:line="39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19"/>
        <w:spacing w:after="0" w:line="284" w:lineRule="auto"/>
        <w:rPr>
          <w:sz w:val="20"/>
          <w:szCs w:val="20"/>
          <w:color w:val="auto"/>
        </w:rPr>
      </w:pPr>
      <w:r>
        <w:rPr>
          <w:rFonts w:ascii="Arial" w:cs="Arial" w:eastAsia="Arial" w:hAnsi="Arial"/>
          <w:sz w:val="18"/>
          <w:szCs w:val="18"/>
          <w:color w:val="auto"/>
        </w:rPr>
        <w:t>DISPOSITION OF OUR COMMON STOCK ARISING UNDER THE U.S. FEDERAL ESTATE OR GIFT TAX LAWS OR UNDER THE LAWS OF ANY STATE, LOCAL, OR NON-U.S. TAXING JURISDICTION OR UNDER ANY APPLICABLE INCOME TAX TREATY.</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Definition of a Non-U.S. Holder</w:t>
      </w:r>
    </w:p>
    <w:p>
      <w:pPr>
        <w:spacing w:after="0" w:line="135"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4" w:lineRule="exact"/>
        <w:rPr>
          <w:sz w:val="20"/>
          <w:szCs w:val="20"/>
          <w:color w:val="auto"/>
        </w:rPr>
      </w:pPr>
    </w:p>
    <w:p>
      <w:pPr>
        <w:ind w:left="1400" w:hanging="140"/>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1400" w:right="439" w:hanging="140"/>
        <w:spacing w:after="0" w:line="318"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4" w:lineRule="exact"/>
        <w:rPr>
          <w:rFonts w:ascii="Arial" w:cs="Arial" w:eastAsia="Arial" w:hAnsi="Arial"/>
          <w:sz w:val="18"/>
          <w:szCs w:val="18"/>
          <w:color w:val="auto"/>
        </w:rPr>
      </w:pPr>
    </w:p>
    <w:p>
      <w:pPr>
        <w:ind w:left="1400" w:hanging="140"/>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w:t>
      </w:r>
    </w:p>
    <w:p>
      <w:pPr>
        <w:spacing w:after="0" w:line="3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more “United States persons” (within​ the meaning of Section 7701(a)(30) of the Code), or</w:t>
      </w:r>
    </w:p>
    <w:p>
      <w:pPr>
        <w:spacing w:after="0" w:line="26" w:lineRule="exact"/>
        <w:rPr>
          <w:rFonts w:ascii="Arial" w:cs="Arial" w:eastAsia="Arial" w:hAnsi="Arial"/>
          <w:sz w:val="18"/>
          <w:szCs w:val="18"/>
          <w:color w:val="auto"/>
        </w:rPr>
      </w:pPr>
    </w:p>
    <w:p>
      <w:pPr>
        <w:ind w:left="1400" w:right="499"/>
        <w:spacing w:after="0" w:line="303" w:lineRule="auto"/>
        <w:rPr>
          <w:rFonts w:ascii="Arial" w:cs="Arial" w:eastAsia="Arial" w:hAnsi="Arial"/>
          <w:sz w:val="18"/>
          <w:szCs w:val="18"/>
          <w:color w:val="auto"/>
        </w:rPr>
      </w:pPr>
      <w:r>
        <w:rPr>
          <w:rFonts w:ascii="Arial" w:cs="Arial" w:eastAsia="Arial" w:hAnsi="Arial"/>
          <w:sz w:val="18"/>
          <w:szCs w:val="18"/>
          <w:color w:val="auto"/>
        </w:rPr>
        <w:t>(2) has a valid election in effect to be treated as a United States person for U.S. federal income tax purposes.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Distributions</w:t>
      </w:r>
    </w:p>
    <w:p>
      <w:pPr>
        <w:spacing w:after="0" w:line="135" w:lineRule="exact"/>
        <w:rPr>
          <w:sz w:val="20"/>
          <w:szCs w:val="20"/>
          <w:color w:val="auto"/>
        </w:rPr>
      </w:pPr>
    </w:p>
    <w:p>
      <w:pPr>
        <w:ind w:left="1260" w:right="599"/>
        <w:spacing w:after="0" w:line="267" w:lineRule="auto"/>
        <w:rPr>
          <w:sz w:val="20"/>
          <w:szCs w:val="20"/>
          <w:color w:val="auto"/>
        </w:rPr>
      </w:pPr>
      <w:r>
        <w:rPr>
          <w:rFonts w:ascii="Arial" w:cs="Arial" w:eastAsia="Arial" w:hAnsi="Arial"/>
          <w:sz w:val="18"/>
          <w:szCs w:val="18"/>
          <w:color w:val="auto"/>
        </w:rPr>
        <w:t>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 -U.S. Holder’s adjusted tax basis in its Common Stock, but not below zero. Any excess will be treated as capital gain and will be treated as described below under “—Sale or Other Taxable Disposition.”</w:t>
      </w:r>
    </w:p>
    <w:p>
      <w:pPr>
        <w:spacing w:after="0" w:line="331" w:lineRule="exact"/>
        <w:rPr>
          <w:sz w:val="20"/>
          <w:szCs w:val="20"/>
          <w:color w:val="auto"/>
        </w:rPr>
      </w:pPr>
    </w:p>
    <w:p>
      <w:pPr>
        <w:ind w:left="1260" w:right="499"/>
        <w:spacing w:after="0" w:line="265"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345"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If dividends paid to a Non-U.S. Holder are effectively connected with the Non- 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 -8ECI, certifying that the dividends are effectively connected with the Non-U.S. Holder’s conduct of a trade or business within the United States.</w:t>
      </w:r>
    </w:p>
    <w:p>
      <w:pPr>
        <w:spacing w:after="0" w:line="331" w:lineRule="exact"/>
        <w:rPr>
          <w:sz w:val="20"/>
          <w:szCs w:val="20"/>
          <w:color w:val="auto"/>
        </w:rPr>
      </w:pPr>
    </w:p>
    <w:p>
      <w:pPr>
        <w:ind w:left="1260" w:right="519"/>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38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Sale or Other Taxable Disposition</w:t>
      </w:r>
    </w:p>
    <w:p>
      <w:pPr>
        <w:spacing w:after="0" w:line="135" w:lineRule="exact"/>
        <w:rPr>
          <w:sz w:val="20"/>
          <w:szCs w:val="20"/>
          <w:color w:val="auto"/>
        </w:rPr>
      </w:pPr>
    </w:p>
    <w:p>
      <w:pPr>
        <w:ind w:left="1260" w:right="719"/>
        <w:spacing w:after="0" w:line="303"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ectPr>
          <w:pgSz w:w="11900" w:h="16838" w:orient="portrait"/>
          <w:cols w:equalWidth="0" w:num="1">
            <w:col w:w="9879"/>
          </w:cols>
          <w:pgMar w:left="580" w:top="97" w:right="1440" w:bottom="853" w:gutter="0" w:footer="0" w:header="0"/>
        </w:sectPr>
      </w:pP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53"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879" w:hanging="140"/>
        <w:spacing w:after="0" w:line="283"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3" w:lineRule="exact"/>
        <w:rPr>
          <w:rFonts w:ascii="Arial" w:cs="Arial" w:eastAsia="Arial" w:hAnsi="Arial"/>
          <w:sz w:val="18"/>
          <w:szCs w:val="18"/>
          <w:color w:val="auto"/>
        </w:rPr>
      </w:pPr>
    </w:p>
    <w:p>
      <w:pPr>
        <w:ind w:left="1400" w:right="579" w:hanging="140"/>
        <w:spacing w:after="0" w:line="318"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8" w:lineRule="exact"/>
        <w:rPr>
          <w:rFonts w:ascii="Arial" w:cs="Arial" w:eastAsia="Arial" w:hAnsi="Arial"/>
          <w:sz w:val="18"/>
          <w:szCs w:val="18"/>
          <w:color w:val="auto"/>
        </w:rPr>
      </w:pPr>
    </w:p>
    <w:p>
      <w:pPr>
        <w:jc w:val="both"/>
        <w:ind w:left="1400" w:right="619" w:hanging="140"/>
        <w:spacing w:after="0" w:line="318"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59" w:lineRule="exact"/>
        <w:rPr>
          <w:sz w:val="20"/>
          <w:szCs w:val="20"/>
          <w:color w:val="auto"/>
        </w:rPr>
      </w:pPr>
    </w:p>
    <w:p>
      <w:pPr>
        <w:ind w:left="1260" w:right="599"/>
        <w:spacing w:after="0" w:line="273"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98" w:lineRule="exact"/>
        <w:rPr>
          <w:sz w:val="20"/>
          <w:szCs w:val="20"/>
          <w:color w:val="auto"/>
        </w:rPr>
      </w:pPr>
    </w:p>
    <w:p>
      <w:pPr>
        <w:ind w:left="1260" w:right="619"/>
        <w:spacing w:after="0" w:line="267"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7"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351"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5" w:lineRule="exact"/>
        <w:rPr>
          <w:sz w:val="20"/>
          <w:szCs w:val="20"/>
          <w:color w:val="auto"/>
        </w:rPr>
      </w:pPr>
    </w:p>
    <w:p>
      <w:pPr>
        <w:jc w:val="both"/>
        <w:ind w:left="1260" w:right="499"/>
        <w:spacing w:after="0" w:line="263"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w:t>
      </w:r>
    </w:p>
    <w:p>
      <w:pPr>
        <w:spacing w:after="0" w:line="2"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 -U.S. office of a non-U.S. broker generally will not be subject to backup withholding or information reporting.</w:t>
      </w:r>
    </w:p>
    <w:p>
      <w:pPr>
        <w:spacing w:after="0" w:line="351" w:lineRule="exact"/>
        <w:rPr>
          <w:sz w:val="20"/>
          <w:szCs w:val="20"/>
          <w:color w:val="auto"/>
        </w:rPr>
      </w:pPr>
    </w:p>
    <w:p>
      <w:pPr>
        <w:ind w:left="1260" w:right="639"/>
        <w:spacing w:after="0" w:line="27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6" w:lineRule="exact"/>
        <w:rPr>
          <w:sz w:val="20"/>
          <w:szCs w:val="20"/>
          <w:color w:val="auto"/>
        </w:rPr>
      </w:pPr>
    </w:p>
    <w:p>
      <w:pPr>
        <w:jc w:val="both"/>
        <w:ind w:left="1260" w:right="499"/>
        <w:spacing w:after="0" w:line="28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48" w:lineRule="exact"/>
        <w:rPr>
          <w:sz w:val="20"/>
          <w:szCs w:val="20"/>
          <w:color w:val="auto"/>
        </w:rPr>
      </w:pPr>
    </w:p>
    <w:p>
      <w:pPr>
        <w:ind w:left="1260" w:right="539"/>
        <w:spacing w:after="0" w:line="274"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w:t>
      </w:r>
    </w:p>
    <w:p>
      <w:pPr>
        <w:spacing w:after="0" w:line="2"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345"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spacing w:after="0" w:line="109" w:lineRule="exact"/>
        <w:rPr>
          <w:sz w:val="20"/>
          <w:szCs w:val="20"/>
          <w:color w:val="auto"/>
        </w:rPr>
      </w:pPr>
    </w:p>
    <w:p>
      <w:pPr>
        <w:ind w:left="1260" w:right="919"/>
        <w:spacing w:after="0" w:line="303"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Underwriting</w:t>
      </w:r>
    </w:p>
    <w:p>
      <w:pPr>
        <w:spacing w:after="0" w:line="168" w:lineRule="exact"/>
        <w:rPr>
          <w:sz w:val="20"/>
          <w:szCs w:val="20"/>
          <w:color w:val="auto"/>
        </w:rPr>
      </w:pPr>
    </w:p>
    <w:p>
      <w:pPr>
        <w:ind w:left="1260" w:right="439"/>
        <w:spacing w:after="0" w:line="276" w:lineRule="auto"/>
        <w:rPr>
          <w:sz w:val="20"/>
          <w:szCs w:val="20"/>
          <w:color w:val="auto"/>
        </w:rPr>
      </w:pPr>
      <w:r>
        <w:rPr>
          <w:rFonts w:ascii="Arial" w:cs="Arial" w:eastAsia="Arial" w:hAnsi="Arial"/>
          <w:sz w:val="18"/>
          <w:szCs w:val="18"/>
          <w:color w:val="auto"/>
        </w:rPr>
        <w:t>The selling shareholders are offering the shares of Common Stock described in this prospectus supplement through J.P. Morgan Securities LLC, which is acting as sole underwriter of the offering. We and the selling shareholders have entered into an underwriting agreement with the underwriter. Subject to the terms and conditions of the underwriting agreement, the selling shareholders have agreed to sell to the underwriter, and the underwriter has agreed to purchase, at the public offering price less the underwriting discounts and commissions set forth on the cover page of this prospectus supplement, the number of shares of Common Stock listed next to its name in the following table:</w:t>
      </w:r>
    </w:p>
    <w:p>
      <w:pPr>
        <w:spacing w:after="0" w:line="265" w:lineRule="exact"/>
        <w:rPr>
          <w:sz w:val="20"/>
          <w:szCs w:val="20"/>
          <w:color w:val="auto"/>
        </w:rPr>
      </w:pPr>
    </w:p>
    <w:tbl>
      <w:tblPr>
        <w:tblLayout w:type="fixed"/>
        <w:tblInd w:w="1260" w:type="dxa"/>
        <w:tblCellMar>
          <w:top w:w="0" w:type="dxa"/>
          <w:left w:w="0" w:type="dxa"/>
          <w:bottom w:w="0" w:type="dxa"/>
          <w:right w:w="0" w:type="dxa"/>
        </w:tblCellMar>
      </w:tblPr>
      <w:tr>
        <w:trPr>
          <w:trHeight w:val="410"/>
        </w:trPr>
        <w:tc>
          <w:tcPr>
            <w:tcW w:w="65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740" w:type="dxa"/>
            <w:vAlign w:val="bottom"/>
            <w:gridSpan w:val="4"/>
          </w:tcPr>
          <w:p>
            <w:pPr>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 xml:space="preserve"> Number of Shares</w:t>
            </w:r>
            <w:r>
              <w:rPr>
                <w:rFonts w:ascii="Arial" w:cs="Arial" w:eastAsia="Arial" w:hAnsi="Arial"/>
                <w:sz w:val="32"/>
                <w:szCs w:val="32"/>
                <w:b w:val="1"/>
                <w:bCs w:val="1"/>
                <w:color w:val="auto"/>
                <w:vertAlign w:val="subscript"/>
              </w:rPr>
              <w:t>​</w:t>
            </w:r>
          </w:p>
        </w:tc>
      </w:tr>
      <w:tr>
        <w:trPr>
          <w:trHeight w:val="223"/>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10" w:lineRule="exact"/>
        <w:rPr>
          <w:sz w:val="20"/>
          <w:szCs w:val="20"/>
          <w:color w:val="auto"/>
        </w:rPr>
      </w:pPr>
    </w:p>
    <w:p>
      <w:pPr>
        <w:ind w:left="1260" w:right="579"/>
        <w:spacing w:after="0" w:line="292" w:lineRule="auto"/>
        <w:rPr>
          <w:sz w:val="20"/>
          <w:szCs w:val="20"/>
          <w:color w:val="auto"/>
        </w:rPr>
      </w:pPr>
      <w:r>
        <w:rPr>
          <w:rFonts w:ascii="Arial" w:cs="Arial" w:eastAsia="Arial" w:hAnsi="Arial"/>
          <w:sz w:val="18"/>
          <w:szCs w:val="18"/>
          <w:color w:val="auto"/>
        </w:rPr>
        <w:t>The underwriter is committed to purchase all the shares of Common Stock offered by the selling shareholders if it purchases any shares. The underwriting agreement also provides that if the underwriter defaults, the offering may be terminated.</w:t>
      </w:r>
    </w:p>
    <w:p>
      <w:pPr>
        <w:spacing w:after="0" w:line="95" w:lineRule="exact"/>
        <w:rPr>
          <w:sz w:val="20"/>
          <w:szCs w:val="20"/>
          <w:color w:val="auto"/>
        </w:rPr>
      </w:pPr>
    </w:p>
    <w:p>
      <w:pPr>
        <w:ind w:left="1260" w:right="499"/>
        <w:spacing w:after="0" w:line="276" w:lineRule="auto"/>
        <w:rPr>
          <w:sz w:val="20"/>
          <w:szCs w:val="20"/>
          <w:color w:val="auto"/>
        </w:rPr>
      </w:pPr>
      <w:r>
        <w:rPr>
          <w:rFonts w:ascii="Arial" w:cs="Arial" w:eastAsia="Arial" w:hAnsi="Arial"/>
          <w:sz w:val="18"/>
          <w:szCs w:val="18"/>
          <w:color w:val="auto"/>
        </w:rPr>
        <w:t>The underwriter proposes to offer the shares of Common Stock directly to the public at the public offering price set forth on the cover page of this prospectus and to certain dealers at that price less a concession not in excess of $            per share. Any such dealers may resell shares to certain other brokers or dealers at a discount of up to $            per share from the public offering price. After the initial offering of the shares to the public, if all of the shares are not sold at the public offering price, the underwriter may change the offering price and the other selling terms. Sales of any shares made outside of the United States may be made by affiliates of the underwriters.</w:t>
      </w:r>
    </w:p>
    <w:p>
      <w:pPr>
        <w:spacing w:after="0" w:line="345" w:lineRule="exact"/>
        <w:rPr>
          <w:sz w:val="20"/>
          <w:szCs w:val="20"/>
          <w:color w:val="auto"/>
        </w:rPr>
      </w:pPr>
    </w:p>
    <w:p>
      <w:pPr>
        <w:ind w:left="1260" w:right="459"/>
        <w:spacing w:after="0" w:line="276" w:lineRule="auto"/>
        <w:rPr>
          <w:sz w:val="20"/>
          <w:szCs w:val="20"/>
          <w:color w:val="auto"/>
        </w:rPr>
      </w:pPr>
      <w:r>
        <w:rPr>
          <w:rFonts w:ascii="Arial" w:cs="Arial" w:eastAsia="Arial" w:hAnsi="Arial"/>
          <w:sz w:val="18"/>
          <w:szCs w:val="18"/>
          <w:color w:val="auto"/>
        </w:rPr>
        <w:t>The underwriter has an option to buy up to additional shares of Common Stock from the selling shareholders to cover sales of shares by the underwriter which exceed the number of shares specified in the table above. The underwriter has 30 days from the date of this prospectus supplement to exercise this option to purchase additional shares. If any additional shares of Common Stock are purchased, the underwriter will offer the additional shares on the same terms as those on which the shares are being offered.</w:t>
      </w:r>
    </w:p>
    <w:p>
      <w:pPr>
        <w:spacing w:after="0" w:line="111" w:lineRule="exact"/>
        <w:rPr>
          <w:sz w:val="20"/>
          <w:szCs w:val="20"/>
          <w:color w:val="auto"/>
        </w:rPr>
      </w:pPr>
    </w:p>
    <w:p>
      <w:pPr>
        <w:ind w:left="1260" w:right="499"/>
        <w:spacing w:after="0" w:line="283"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 to the selling shareholders per share of Common Stock. The underwriting fee is $            per share. The following table shows the per share and total underwriting discounts and commissions to be paid to the underwriter assuming both no exercise and full exercise of the underwriter’s option to purchase additional shares.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34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Without</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With full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option to</w:t>
            </w:r>
          </w:p>
        </w:tc>
        <w:tc>
          <w:tcPr>
            <w:tcW w:w="280" w:type="dxa"/>
            <w:vAlign w:val="bottom"/>
          </w:tcPr>
          <w:p>
            <w:pPr>
              <w:spacing w:after="0"/>
              <w:rPr>
                <w:sz w:val="17"/>
                <w:szCs w:val="17"/>
                <w:color w:val="auto"/>
              </w:rPr>
            </w:pPr>
          </w:p>
        </w:tc>
        <w:tc>
          <w:tcPr>
            <w:tcW w:w="860" w:type="dxa"/>
            <w:vAlign w:val="bottom"/>
            <w:gridSpan w:val="3"/>
          </w:tcPr>
          <w:p>
            <w:pPr>
              <w:jc w:val="right"/>
              <w:ind w:right="23"/>
              <w:spacing w:after="0"/>
              <w:rPr>
                <w:sz w:val="20"/>
                <w:szCs w:val="20"/>
                <w:color w:val="auto"/>
              </w:rPr>
            </w:pPr>
            <w:r>
              <w:rPr>
                <w:rFonts w:ascii="Arial" w:cs="Arial" w:eastAsia="Arial" w:hAnsi="Arial"/>
                <w:sz w:val="16"/>
                <w:szCs w:val="16"/>
                <w:b w:val="1"/>
                <w:bCs w:val="1"/>
                <w:color w:val="auto"/>
              </w:rPr>
              <w:t>option to</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c>
          <w:tcPr>
            <w:tcW w:w="280" w:type="dxa"/>
            <w:vAlign w:val="bottom"/>
          </w:tcPr>
          <w:p>
            <w:pPr>
              <w:spacing w:after="0"/>
              <w:rPr>
                <w:sz w:val="17"/>
                <w:szCs w:val="17"/>
                <w:color w:val="auto"/>
              </w:rPr>
            </w:pPr>
          </w:p>
        </w:tc>
        <w:tc>
          <w:tcPr>
            <w:tcW w:w="860" w:type="dxa"/>
            <w:vAlign w:val="bottom"/>
            <w:gridSpan w:val="3"/>
          </w:tcPr>
          <w:p>
            <w:pPr>
              <w:jc w:val="right"/>
              <w:ind w:right="23"/>
              <w:spacing w:after="0"/>
              <w:rPr>
                <w:sz w:val="20"/>
                <w:szCs w:val="20"/>
                <w:color w:val="auto"/>
              </w:rPr>
            </w:pPr>
            <w:r>
              <w:rPr>
                <w:rFonts w:ascii="Arial" w:cs="Arial" w:eastAsia="Arial" w:hAnsi="Arial"/>
                <w:sz w:val="16"/>
                <w:szCs w:val="16"/>
                <w:b w:val="1"/>
                <w:bCs w:val="1"/>
                <w:color w:val="auto"/>
              </w:rPr>
              <w:t>purchase</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364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1140" w:type="dxa"/>
            <w:vAlign w:val="bottom"/>
            <w:gridSpan w:val="4"/>
          </w:tcPr>
          <w:p>
            <w:pPr>
              <w:jc w:val="right"/>
              <w:ind w:right="23"/>
              <w:spacing w:after="0"/>
              <w:rPr>
                <w:sz w:val="20"/>
                <w:szCs w:val="20"/>
                <w:color w:val="auto"/>
              </w:rPr>
            </w:pPr>
            <w:r>
              <w:rPr>
                <w:rFonts w:ascii="Arial" w:cs="Arial" w:eastAsia="Arial" w:hAnsi="Arial"/>
                <w:sz w:val="16"/>
                <w:szCs w:val="16"/>
                <w:b w:val="1"/>
                <w:bCs w:val="1"/>
                <w:color w:val="auto"/>
              </w:rPr>
              <w:t>additional</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6"/>
                <w:szCs w:val="16"/>
                <w:b w:val="1"/>
                <w:bCs w:val="1"/>
                <w:color w:val="auto"/>
              </w:rPr>
              <w:t>​</w:t>
            </w:r>
          </w:p>
        </w:tc>
        <w:tc>
          <w:tcPr>
            <w:tcW w:w="2840" w:type="dxa"/>
            <w:vAlign w:val="bottom"/>
          </w:tcPr>
          <w:p>
            <w:pPr>
              <w:ind w:left="2680"/>
              <w:spacing w:after="0"/>
              <w:rPr>
                <w:sz w:val="20"/>
                <w:szCs w:val="20"/>
                <w:color w:val="auto"/>
              </w:rPr>
            </w:pPr>
            <w:r>
              <w:rPr>
                <w:rFonts w:ascii="Arial" w:cs="Arial" w:eastAsia="Arial" w:hAnsi="Arial"/>
                <w:sz w:val="16"/>
                <w:szCs w:val="16"/>
                <w:b w:val="1"/>
                <w:bCs w:val="1"/>
                <w:color w:val="auto"/>
              </w:rPr>
              <w:t>​ ​</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280" w:type="dxa"/>
            <w:vAlign w:val="bottom"/>
          </w:tcPr>
          <w:p>
            <w:pPr>
              <w:ind w:left="120"/>
              <w:spacing w:after="0"/>
              <w:rPr>
                <w:sz w:val="20"/>
                <w:szCs w:val="20"/>
                <w:color w:val="auto"/>
              </w:rPr>
            </w:pPr>
            <w:r>
              <w:rPr>
                <w:rFonts w:ascii="Arial" w:cs="Arial" w:eastAsia="Arial" w:hAnsi="Arial"/>
                <w:sz w:val="16"/>
                <w:szCs w:val="16"/>
                <w:b w:val="1"/>
                <w:bCs w:val="1"/>
                <w:color w:val="auto"/>
              </w:rPr>
              <w:t>​ ​</w:t>
            </w: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36"/>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840" w:type="dxa"/>
            <w:vAlign w:val="bottom"/>
            <w:tcBorders>
              <w:top w:val="single" w:sz="8" w:color="auto"/>
            </w:tcBorders>
            <w:shd w:val="clear" w:color="auto" w:fill="CCEEFF"/>
          </w:tcPr>
          <w:p>
            <w:pPr>
              <w:ind w:left="2620"/>
              <w:spacing w:after="0"/>
              <w:rPr>
                <w:sz w:val="20"/>
                <w:szCs w:val="20"/>
                <w:color w:val="auto"/>
              </w:rPr>
            </w:pPr>
            <w:r>
              <w:rPr>
                <w:rFonts w:ascii="Arial" w:cs="Arial" w:eastAsia="Arial" w:hAnsi="Arial"/>
                <w:sz w:val="18"/>
                <w:szCs w:val="18"/>
                <w:color w:val="auto"/>
              </w:rPr>
              <w:t>​ ​</w:t>
            </w:r>
          </w:p>
        </w:tc>
        <w:tc>
          <w:tcPr>
            <w:tcW w:w="800" w:type="dxa"/>
            <w:vAlign w:val="bottom"/>
            <w:tcBorders>
              <w:top w:val="single" w:sz="8" w:color="auto"/>
            </w:tcBorders>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auto"/>
            </w:tcBorders>
            <w:shd w:val="clear" w:color="auto" w:fill="CCEEFF"/>
          </w:tcPr>
          <w:p>
            <w:pPr>
              <w:jc w:val="right"/>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80" w:type="dxa"/>
            <w:vAlign w:val="bottom"/>
          </w:tcPr>
          <w:p>
            <w:pPr>
              <w:ind w:left="180"/>
              <w:spacing w:after="0" w:line="176" w:lineRule="exact"/>
              <w:rPr>
                <w:sz w:val="20"/>
                <w:szCs w:val="20"/>
                <w:color w:val="auto"/>
              </w:rPr>
            </w:pPr>
            <w:r>
              <w:rPr>
                <w:rFonts w:ascii="Arial" w:cs="Arial" w:eastAsia="Arial" w:hAnsi="Arial"/>
                <w:sz w:val="18"/>
                <w:szCs w:val="18"/>
                <w:color w:val="auto"/>
              </w:rPr>
              <w:t>Total</w:t>
            </w:r>
          </w:p>
        </w:tc>
        <w:tc>
          <w:tcPr>
            <w:tcW w:w="2840" w:type="dxa"/>
            <w:vAlign w:val="bottom"/>
            <w:vMerge w:val="restart"/>
          </w:tcPr>
          <w:p>
            <w:pPr>
              <w:ind w:left="262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582"/>
              <w:spacing w:after="0" w:line="176" w:lineRule="exact"/>
              <w:rPr>
                <w:sz w:val="20"/>
                <w:szCs w:val="20"/>
                <w:color w:val="auto"/>
              </w:rPr>
            </w:pPr>
            <w:r>
              <w:rPr>
                <w:rFonts w:ascii="Arial" w:cs="Arial" w:eastAsia="Arial" w:hAnsi="Arial"/>
                <w:sz w:val="18"/>
                <w:szCs w:val="18"/>
                <w:color w:val="auto"/>
              </w:rPr>
              <w:t>$</w:t>
            </w:r>
          </w:p>
        </w:tc>
        <w:tc>
          <w:tcPr>
            <w:tcW w:w="28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4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tcPr>
          <w:p>
            <w:pPr>
              <w:ind w:left="20"/>
              <w:spacing w:after="0" w:line="95"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jc w:val="right"/>
              <w:ind w:right="23"/>
              <w:spacing w:after="0" w:line="9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spacing w:after="0"/>
              <w:rPr>
                <w:sz w:val="8"/>
                <w:szCs w:val="8"/>
                <w:color w:val="auto"/>
              </w:rPr>
            </w:pPr>
          </w:p>
        </w:tc>
        <w:tc>
          <w:tcPr>
            <w:tcW w:w="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1260" w:right="619"/>
        <w:spacing w:after="0" w:line="284"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102" w:lineRule="exact"/>
        <w:rPr>
          <w:sz w:val="20"/>
          <w:szCs w:val="20"/>
          <w:color w:val="auto"/>
        </w:rPr>
      </w:pPr>
    </w:p>
    <w:p>
      <w:pPr>
        <w:ind w:left="1260" w:right="419"/>
        <w:spacing w:after="0" w:line="281" w:lineRule="auto"/>
        <w:rPr>
          <w:sz w:val="20"/>
          <w:szCs w:val="20"/>
          <w:color w:val="auto"/>
        </w:rPr>
      </w:pPr>
      <w:r>
        <w:rPr>
          <w:rFonts w:ascii="Arial" w:cs="Arial" w:eastAsia="Arial" w:hAnsi="Arial"/>
          <w:sz w:val="18"/>
          <w:szCs w:val="18"/>
          <w:color w:val="auto"/>
        </w:rPr>
        <w:t>A prospectus supplement in electronic format may be made available on the websites maintained by the underwriter, or selling group members, if any, participating in the offering. The underwriter may agree to allocate a number of shares to the underwriter and selling group members for sale to their online brokerage account holders. Internet distributions will be allocated to the underwriter and selling group members that may make Internet distributions on the same basis as other allocations.</w:t>
      </w:r>
    </w:p>
    <w:p>
      <w:pPr>
        <w:sectPr>
          <w:pgSz w:w="11900" w:h="16838" w:orient="portrait"/>
          <w:cols w:equalWidth="0" w:num="1">
            <w:col w:w="9879"/>
          </w:cols>
          <w:pgMar w:left="580" w:top="97" w:right="1440" w:bottom="1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136"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39"/>
        <w:spacing w:after="0" w:line="274" w:lineRule="auto"/>
        <w:rPr>
          <w:sz w:val="20"/>
          <w:szCs w:val="20"/>
          <w:color w:val="auto"/>
        </w:rPr>
      </w:pPr>
      <w:r>
        <w:rPr>
          <w:rFonts w:ascii="Arial" w:cs="Arial" w:eastAsia="Arial" w:hAnsi="Arial"/>
          <w:sz w:val="18"/>
          <w:szCs w:val="18"/>
          <w:color w:val="auto"/>
        </w:rPr>
        <w:t>We have agreed that we will not (i) offer, pledge, sell, contract to sell, sell any option or contract to purchase, purchase any option or contract to sell, grant any option, right or warrant to purchase, lend, make any short sale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(iii) publicly disclose the intention to do any of the foregoing, in each case without the prior written consent of J.P. Morgan Securities LLC for a period of 60 days after the date of this prospectus supplement, other than the shares of our Common Stock to be sold in this offering.</w:t>
      </w:r>
    </w:p>
    <w:p>
      <w:pPr>
        <w:spacing w:after="0" w:line="114"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supplement;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supplement, provided that such recipients enter into a lock-up agreement with the underwriter; (iii) the issuance of up to 5%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 or (iv) our filing of any registration statement on Form S-8 relating to securities granted or to be granted pursuant to any plan in effect on the date of the underwriting agreement and described in this prospectus supplement or any assumed benefit plan pursuant to an acquisition or similar strategic transaction.</w:t>
      </w:r>
    </w:p>
    <w:p>
      <w:pPr>
        <w:spacing w:after="0" w:line="352" w:lineRule="exact"/>
        <w:rPr>
          <w:sz w:val="20"/>
          <w:szCs w:val="20"/>
          <w:color w:val="auto"/>
        </w:rPr>
      </w:pPr>
    </w:p>
    <w:p>
      <w:pPr>
        <w:ind w:left="1260" w:right="419"/>
        <w:spacing w:after="0" w:line="272" w:lineRule="auto"/>
        <w:rPr>
          <w:sz w:val="20"/>
          <w:szCs w:val="20"/>
          <w:color w:val="auto"/>
        </w:rPr>
      </w:pPr>
      <w:r>
        <w:rPr>
          <w:rFonts w:ascii="Arial" w:cs="Arial" w:eastAsia="Arial" w:hAnsi="Arial"/>
          <w:sz w:val="18"/>
          <w:szCs w:val="18"/>
          <w:color w:val="auto"/>
        </w:rPr>
        <w:t>Our directors and executive officers and the selling shareholders (such persons, the “lock-up parties”) have entered into lock-up agreements with the underwriter prior to the commencement of this offering pursuant to which each lock-up party, with limited exceptions, for a period of 60 days after the date of this prospectus supplement with respect to our executive officers, directors and certain other shareholders, and 90 days from the date of this prospectus supplement with respect to the selling shareholders (each such period, the “restricted period,” as applicable),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make any short sale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or</w:t>
      </w:r>
    </w:p>
    <w:p>
      <w:pPr>
        <w:spacing w:after="0" w:line="1" w:lineRule="exact"/>
        <w:rPr>
          <w:sz w:val="20"/>
          <w:szCs w:val="20"/>
          <w:color w:val="auto"/>
        </w:rPr>
      </w:pPr>
    </w:p>
    <w:p>
      <w:pPr>
        <w:ind w:left="1260" w:right="439"/>
        <w:spacing w:after="0" w:line="274" w:lineRule="auto"/>
        <w:tabs>
          <w:tab w:leader="none" w:pos="1548"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w:t>
      </w:r>
    </w:p>
    <w:p>
      <w:pPr>
        <w:sectPr>
          <w:pgSz w:w="11900" w:h="16838" w:orient="portrait"/>
          <w:cols w:equalWidth="0" w:num="1">
            <w:col w:w="9879"/>
          </w:cols>
          <w:pgMar w:left="580" w:top="97" w:right="1440" w:bottom="9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07"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579"/>
        <w:spacing w:after="0" w:line="292" w:lineRule="auto"/>
        <w:rPr>
          <w:sz w:val="20"/>
          <w:szCs w:val="20"/>
          <w:color w:val="auto"/>
        </w:rPr>
      </w:pPr>
      <w:r>
        <w:rPr>
          <w:rFonts w:ascii="Arial" w:cs="Arial" w:eastAsia="Arial" w:hAnsi="Arial"/>
          <w:sz w:val="18"/>
          <w:szCs w:val="18"/>
          <w:color w:val="auto"/>
        </w:rPr>
        <w:t>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95"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 and the lock-up parties do not apply, subject in certain cases to various conditions, to certain transactions, including transfers of lock-up securities: (i) as bona fide gifts or by will or intestacy, (ii) to any trust, partnership or limited liability company for the direct or indirect benefit of the lock-up party or any immediate family member, (iii) to any direct or indirect wholly owned subsidiary, limited partners, members, stockholders, other equity holders or trust beneficiaries of the lock-up party or, if the lock-up party is a trust, to a trustee of the lock-up party, or to any investment fund or other entity controlled or managed by or under common control or management with the lock-up party, (iv) to a nominee or custodian of a person or entity to whom a disposition or transfer would be permissible under clauses (i) through (iii),</w:t>
      </w:r>
    </w:p>
    <w:p>
      <w:pPr>
        <w:spacing w:after="0" w:line="8" w:lineRule="exact"/>
        <w:rPr>
          <w:sz w:val="20"/>
          <w:szCs w:val="20"/>
          <w:color w:val="auto"/>
        </w:rPr>
      </w:pPr>
    </w:p>
    <w:p>
      <w:pPr>
        <w:ind w:left="1260" w:right="419"/>
        <w:spacing w:after="0" w:line="271" w:lineRule="auto"/>
        <w:tabs>
          <w:tab w:leader="none" w:pos="15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a court order or regulatory agency or to comply with any regulations related to the lock-up party’s ownership of securities, (vi) to us as the result of a vesting, conversion, exercise or exchange of any security convertible into or exercisable or exchangeable for shares of Common Stock pursuant to any existing employee benefit plans described in this prospectus supplement, including shares of Common Stock surrendered or transferred to us in connection with a “cashless” or “net exercise” to cover tax withholding obligations of the lock-up party in connection with such vesting, conversion, exercise or exchange, (vii)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(viii) in transactions pursuant to any trading plan pursuant to a Rule 10b5-1 under the Exchange Act entered into prior to the date of the lock-up agreement;</w:t>
      </w:r>
    </w:p>
    <w:p>
      <w:pPr>
        <w:spacing w:after="0" w:line="3" w:lineRule="exact"/>
        <w:rPr>
          <w:rFonts w:ascii="Arial" w:cs="Arial" w:eastAsia="Arial" w:hAnsi="Arial"/>
          <w:sz w:val="18"/>
          <w:szCs w:val="18"/>
          <w:color w:val="auto"/>
        </w:rPr>
      </w:pPr>
    </w:p>
    <w:p>
      <w:pPr>
        <w:ind w:left="1260" w:right="779"/>
        <w:spacing w:after="0" w:line="286" w:lineRule="auto"/>
        <w:tabs>
          <w:tab w:leader="none" w:pos="15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part of a sale of lock-up securities acquired in open market transactions after the completion of this offering; and (x) the sale of our Common Stock pursuant to the terms of the underwriting agreement.</w:t>
      </w:r>
    </w:p>
    <w:p>
      <w:pPr>
        <w:spacing w:after="0" w:line="101" w:lineRule="exact"/>
        <w:rPr>
          <w:sz w:val="20"/>
          <w:szCs w:val="20"/>
          <w:color w:val="auto"/>
        </w:rPr>
      </w:pPr>
    </w:p>
    <w:p>
      <w:pPr>
        <w:ind w:left="1260" w:right="479"/>
        <w:spacing w:after="0" w:line="303"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described above, in whole or in part at any time.</w:t>
      </w:r>
    </w:p>
    <w:p>
      <w:pPr>
        <w:spacing w:after="0" w:line="85" w:lineRule="exact"/>
        <w:rPr>
          <w:sz w:val="20"/>
          <w:szCs w:val="20"/>
          <w:color w:val="auto"/>
        </w:rPr>
      </w:pPr>
    </w:p>
    <w:p>
      <w:pPr>
        <w:ind w:left="1260" w:right="1119"/>
        <w:spacing w:after="0" w:line="303" w:lineRule="auto"/>
        <w:rPr>
          <w:sz w:val="20"/>
          <w:szCs w:val="20"/>
          <w:color w:val="auto"/>
        </w:rPr>
      </w:pPr>
      <w:r>
        <w:rPr>
          <w:rFonts w:ascii="Arial" w:cs="Arial" w:eastAsia="Arial" w:hAnsi="Arial"/>
          <w:sz w:val="18"/>
          <w:szCs w:val="18"/>
          <w:color w:val="auto"/>
        </w:rPr>
        <w:t>We and the selling shareholders have agreed to indemnify the underwriter against certain liabilities, including liabilities under the Securities Act.</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Common Stock is listed on the Nasdaq Global Market under the symbol “HRMY”.</w:t>
      </w:r>
    </w:p>
    <w:p>
      <w:pPr>
        <w:spacing w:after="0" w:line="171"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 of a greater number of shares of Common Stock than it is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its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it will purchase shares in the open market to cover the position.</w:t>
      </w:r>
    </w:p>
    <w:p>
      <w:pPr>
        <w:spacing w:after="0" w:line="358" w:lineRule="exact"/>
        <w:rPr>
          <w:sz w:val="20"/>
          <w:szCs w:val="20"/>
          <w:color w:val="auto"/>
        </w:rPr>
      </w:pPr>
    </w:p>
    <w:p>
      <w:pPr>
        <w:ind w:left="1260" w:right="619"/>
        <w:spacing w:after="0" w:line="292" w:lineRule="auto"/>
        <w:rPr>
          <w:sz w:val="20"/>
          <w:szCs w:val="20"/>
          <w:color w:val="auto"/>
        </w:rPr>
      </w:pPr>
      <w:r>
        <w:rPr>
          <w:rFonts w:ascii="Arial" w:cs="Arial" w:eastAsia="Arial" w:hAnsi="Arial"/>
          <w:sz w:val="18"/>
          <w:szCs w:val="18"/>
          <w:color w:val="auto"/>
        </w:rPr>
        <w:t>The underwriter has advised us that, pursuant to Regulation M of the Securities Act, it may also engage in other activities that stabilize, maintain or otherwise affect the price of the Common Stock, including the imposition of</w:t>
      </w:r>
    </w:p>
    <w:p>
      <w:pPr>
        <w:sectPr>
          <w:pgSz w:w="11900" w:h="16838" w:orient="portrait"/>
          <w:cols w:equalWidth="0" w:num="1">
            <w:col w:w="9879"/>
          </w:cols>
          <w:pgMar w:left="580" w:top="97" w:right="1440" w:bottom="1028" w:gutter="0" w:footer="0" w:header="0"/>
        </w:sectPr>
      </w:pP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28"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284" w:lineRule="auto"/>
        <w:rPr>
          <w:sz w:val="20"/>
          <w:szCs w:val="20"/>
          <w:color w:val="auto"/>
        </w:rPr>
      </w:pPr>
      <w:r>
        <w:rPr>
          <w:rFonts w:ascii="Arial" w:cs="Arial" w:eastAsia="Arial" w:hAnsi="Arial"/>
          <w:sz w:val="18"/>
          <w:szCs w:val="18"/>
          <w:color w:val="auto"/>
        </w:rPr>
        <w:t>penalty bids. This means that if the underwriter purchases Common Stock in the open market in stabilizing transactions or to cover short sales, the underwriter may repay the underwriting discount received by it.</w:t>
      </w:r>
    </w:p>
    <w:p>
      <w:pPr>
        <w:spacing w:after="0" w:line="89"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Nasdaq Global Market, in the over-the-counter market or otherwise.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Selling Restrictions</w:t>
      </w:r>
    </w:p>
    <w:p>
      <w:pPr>
        <w:spacing w:after="0" w:line="135"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48"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other than at any time under the following exemptions under the Prospectus Regulation:</w:t>
      </w:r>
    </w:p>
    <w:p>
      <w:pPr>
        <w:spacing w:after="0" w:line="114" w:lineRule="exact"/>
        <w:rPr>
          <w:sz w:val="20"/>
          <w:szCs w:val="20"/>
          <w:color w:val="auto"/>
        </w:rPr>
      </w:pPr>
    </w:p>
    <w:p>
      <w:pPr>
        <w:ind w:left="1540" w:hanging="280"/>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1260" w:right="479"/>
        <w:spacing w:after="0" w:line="292" w:lineRule="auto"/>
        <w:tabs>
          <w:tab w:leader="none" w:pos="15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95" w:lineRule="exact"/>
        <w:rPr>
          <w:rFonts w:ascii="Arial" w:cs="Arial" w:eastAsia="Arial" w:hAnsi="Arial"/>
          <w:sz w:val="18"/>
          <w:szCs w:val="18"/>
          <w:color w:val="auto"/>
        </w:rPr>
      </w:pPr>
    </w:p>
    <w:p>
      <w:pPr>
        <w:ind w:left="1540" w:hanging="280"/>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1260" w:right="459"/>
        <w:spacing w:after="0" w:line="276" w:lineRule="auto"/>
        <w:rPr>
          <w:sz w:val="20"/>
          <w:szCs w:val="20"/>
          <w:color w:val="auto"/>
        </w:rPr>
      </w:pPr>
      <w:r>
        <w:rPr>
          <w:rFonts w:ascii="Arial" w:cs="Arial" w:eastAsia="Arial" w:hAnsi="Arial"/>
          <w:sz w:val="18"/>
          <w:szCs w:val="18"/>
          <w:color w:val="auto"/>
        </w:rPr>
        <w:t>provided that no such offer of shares of Common Stock shall require us or the underwriter to publish a prospectus pursuant to Article 3 the Prospectus Regulation or supplement a prospectus pursuant to Article 23 of the Prospectus Regulation and each person who initially acquires any shares of Common Stock or to whom any offer is made will be deemed to have represented, acknowledged and agreed to and with the underwriter and us that it is a “qualified investor” within the meaning of Article 2(e) of the Prospectus Regulation.</w:t>
      </w:r>
    </w:p>
    <w:p>
      <w:pPr>
        <w:spacing w:after="0" w:line="111" w:lineRule="exact"/>
        <w:rPr>
          <w:sz w:val="20"/>
          <w:szCs w:val="20"/>
          <w:color w:val="auto"/>
        </w:rPr>
      </w:pPr>
    </w:p>
    <w:p>
      <w:pPr>
        <w:ind w:left="1260" w:right="419"/>
        <w:spacing w:after="0" w:line="278" w:lineRule="auto"/>
        <w:rPr>
          <w:sz w:val="20"/>
          <w:szCs w:val="20"/>
          <w:color w:val="auto"/>
        </w:rPr>
      </w:pPr>
      <w:r>
        <w:rPr>
          <w:rFonts w:ascii="Arial" w:cs="Arial" w:eastAsia="Arial" w:hAnsi="Arial"/>
          <w:sz w:val="18"/>
          <w:szCs w:val="18"/>
          <w:color w:val="auto"/>
        </w:rPr>
        <w:t>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 has been obtained to each such proposed offer or resale.</w:t>
      </w:r>
    </w:p>
    <w:p>
      <w:pPr>
        <w:spacing w:after="0" w:line="107" w:lineRule="exact"/>
        <w:rPr>
          <w:sz w:val="20"/>
          <w:szCs w:val="20"/>
          <w:color w:val="auto"/>
        </w:rPr>
      </w:pPr>
    </w:p>
    <w:p>
      <w:pPr>
        <w:jc w:val="both"/>
        <w:ind w:left="1260" w:right="419"/>
        <w:spacing w:after="0" w:line="28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w:t>
      </w:r>
    </w:p>
    <w:p>
      <w:pPr>
        <w:sectPr>
          <w:pgSz w:w="11900" w:h="16838" w:orient="portrait"/>
          <w:cols w:equalWidth="0" w:num="1">
            <w:col w:w="9879"/>
          </w:cols>
          <w:pgMar w:left="580" w:top="97" w:right="1440" w:bottom="596" w:gutter="0" w:footer="0" w:header="0"/>
        </w:sectPr>
      </w:pPr>
    </w:p>
    <w:p>
      <w:pPr>
        <w:spacing w:after="0" w:line="3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596"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84" w:lineRule="auto"/>
        <w:rPr>
          <w:sz w:val="20"/>
          <w:szCs w:val="20"/>
          <w:color w:val="auto"/>
        </w:rPr>
      </w:pPr>
      <w:r>
        <w:rPr>
          <w:rFonts w:ascii="Arial" w:cs="Arial" w:eastAsia="Arial" w:hAnsi="Arial"/>
          <w:sz w:val="18"/>
          <w:szCs w:val="18"/>
          <w:color w:val="auto"/>
        </w:rPr>
        <w:t>the terms of the offer and any shares of Common Stock to be offered so as to enable an investor to decide to purchase or subscribe for any shares of Common Stock, and the expression “Prospectus Regulation” means Regulation (EU) 2017/1129.</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5" w:lineRule="exact"/>
        <w:rPr>
          <w:sz w:val="20"/>
          <w:szCs w:val="20"/>
          <w:color w:val="auto"/>
        </w:rPr>
      </w:pPr>
    </w:p>
    <w:p>
      <w:pPr>
        <w:jc w:val="both"/>
        <w:ind w:left="1260" w:right="639"/>
        <w:spacing w:after="0" w:line="267" w:lineRule="auto"/>
        <w:rPr>
          <w:sz w:val="20"/>
          <w:szCs w:val="20"/>
          <w:color w:val="auto"/>
        </w:rPr>
      </w:pPr>
      <w:r>
        <w:rPr>
          <w:rFonts w:ascii="Arial" w:cs="Arial" w:eastAsia="Arial" w:hAnsi="Arial"/>
          <w:sz w:val="18"/>
          <w:szCs w:val="18"/>
          <w:color w:val="auto"/>
        </w:rPr>
        <w:t>No shares of Common Stock have been offered or will be offered pursuant to the offering to the public in the United Kingdom prior to the publication of a prospectus in relation to the shares of our Common Stock which either (i) has been approved by the Financial Conduct Authority or</w:t>
      </w:r>
    </w:p>
    <w:p>
      <w:pPr>
        <w:spacing w:after="0" w:line="2" w:lineRule="exact"/>
        <w:rPr>
          <w:sz w:val="20"/>
          <w:szCs w:val="20"/>
          <w:color w:val="auto"/>
        </w:rPr>
      </w:pPr>
    </w:p>
    <w:p>
      <w:pPr>
        <w:ind w:left="1260" w:right="439"/>
        <w:spacing w:after="0" w:line="266" w:lineRule="auto"/>
        <w:tabs>
          <w:tab w:leader="none" w:pos="15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to be treated as if it had been approved by the Financial Conduct Authority in accordance with the transitional provisions in Article 74 (transitional provisions) of the Prospectus (Amendment etc.) (EU Exit) Regulations 2019/1234, except that the shares of our Common Stock may be offered to the public in the United Kingdom at any time:</w:t>
      </w:r>
    </w:p>
    <w:p>
      <w:pPr>
        <w:spacing w:after="0" w:line="131" w:lineRule="exact"/>
        <w:rPr>
          <w:sz w:val="20"/>
          <w:szCs w:val="20"/>
          <w:color w:val="auto"/>
        </w:rPr>
      </w:pPr>
    </w:p>
    <w:p>
      <w:pPr>
        <w:ind w:left="1260" w:right="419"/>
        <w:spacing w:after="0" w:line="303" w:lineRule="auto"/>
        <w:tabs>
          <w:tab w:leader="none" w:pos="15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71" w:lineRule="exact"/>
        <w:rPr>
          <w:rFonts w:ascii="Arial" w:cs="Arial" w:eastAsia="Arial" w:hAnsi="Arial"/>
          <w:sz w:val="18"/>
          <w:szCs w:val="18"/>
          <w:color w:val="auto"/>
        </w:rPr>
      </w:pPr>
    </w:p>
    <w:p>
      <w:pPr>
        <w:ind w:left="1260" w:right="799"/>
        <w:spacing w:after="0" w:line="276" w:lineRule="auto"/>
        <w:tabs>
          <w:tab w:leader="none" w:pos="15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109" w:lineRule="exact"/>
        <w:rPr>
          <w:rFonts w:ascii="Arial" w:cs="Arial" w:eastAsia="Arial" w:hAnsi="Arial"/>
          <w:sz w:val="18"/>
          <w:szCs w:val="18"/>
          <w:color w:val="auto"/>
        </w:rPr>
      </w:pPr>
    </w:p>
    <w:p>
      <w:pPr>
        <w:ind w:left="1540" w:hanging="280"/>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58" w:lineRule="exact"/>
        <w:rPr>
          <w:sz w:val="20"/>
          <w:szCs w:val="20"/>
          <w:color w:val="auto"/>
        </w:rPr>
      </w:pPr>
    </w:p>
    <w:p>
      <w:pPr>
        <w:jc w:val="both"/>
        <w:ind w:left="1260" w:right="419"/>
        <w:spacing w:after="0" w:line="284" w:lineRule="auto"/>
        <w:rPr>
          <w:sz w:val="20"/>
          <w:szCs w:val="20"/>
          <w:color w:val="auto"/>
        </w:rPr>
      </w:pPr>
      <w:r>
        <w:rPr>
          <w:rFonts w:ascii="Arial" w:cs="Arial" w:eastAsia="Arial" w:hAnsi="Arial"/>
          <w:sz w:val="18"/>
          <w:szCs w:val="18"/>
          <w:color w:val="auto"/>
        </w:rPr>
        <w:t>provided that no such offer of the shares of our Common Stock shall require us or the underwriter to publish a prospectus pursuant to Section 85 of the FSMA or supplement a prospectus pursuant to Article 23 of the UK Prospectus Regulation.</w:t>
      </w:r>
    </w:p>
    <w:p>
      <w:pPr>
        <w:spacing w:after="0" w:line="89"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of our Common Stock in the United Kingdom means the communication in any form and by any means of sufficient information on the terms of the offer and any shares of our Common Stock to be offered so as to enable an investor to decide to purchase or subscribe for any shares of our Common Stock and the expression “UK Prospectus Regulation” means Regulation (EU) 2017/1129 as it forms part of domestic law by virtue of the European Union (Withdrawal) Act 2018.</w:t>
      </w:r>
    </w:p>
    <w:p>
      <w:pPr>
        <w:spacing w:after="0" w:line="333" w:lineRule="exact"/>
        <w:rPr>
          <w:sz w:val="20"/>
          <w:szCs w:val="20"/>
          <w:color w:val="auto"/>
        </w:rPr>
      </w:pPr>
    </w:p>
    <w:p>
      <w:pPr>
        <w:ind w:left="1260" w:right="479"/>
        <w:spacing w:after="0" w:line="26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Common Stock in the United Kingdom within the meaning of the Financial Services and Markets Act 2000.</w:t>
      </w:r>
    </w:p>
    <w:p>
      <w:pPr>
        <w:spacing w:after="0" w:line="126" w:lineRule="exact"/>
        <w:rPr>
          <w:sz w:val="20"/>
          <w:szCs w:val="20"/>
          <w:color w:val="auto"/>
        </w:rPr>
      </w:pPr>
    </w:p>
    <w:p>
      <w:pPr>
        <w:ind w:left="1260" w:right="799"/>
        <w:spacing w:after="0" w:line="27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5" w:lineRule="exact"/>
        <w:rPr>
          <w:sz w:val="20"/>
          <w:szCs w:val="20"/>
          <w:color w:val="auto"/>
        </w:rPr>
      </w:pPr>
    </w:p>
    <w:p>
      <w:pPr>
        <w:ind w:left="1260" w:right="659"/>
        <w:spacing w:after="0" w:line="267" w:lineRule="auto"/>
        <w:rPr>
          <w:sz w:val="20"/>
          <w:szCs w:val="20"/>
          <w:color w:val="auto"/>
        </w:rPr>
      </w:pPr>
      <w:r>
        <w:rPr>
          <w:rFonts w:ascii="Arial" w:cs="Arial" w:eastAsia="Arial" w:hAnsi="Arial"/>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3" w:lineRule="exact"/>
        <w:rPr>
          <w:sz w:val="20"/>
          <w:szCs w:val="20"/>
          <w:color w:val="auto"/>
        </w:rPr>
      </w:pPr>
    </w:p>
    <w:p>
      <w:pPr>
        <w:ind w:left="1260" w:right="659"/>
        <w:spacing w:after="0" w:line="28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w:t>
      </w:r>
    </w:p>
    <w:p>
      <w:pPr>
        <w:sectPr>
          <w:pgSz w:w="11900" w:h="16838" w:orient="portrait"/>
          <w:cols w:equalWidth="0" w:num="1">
            <w:col w:w="9879"/>
          </w:cols>
          <w:pgMar w:left="580" w:top="97" w:right="1440" w:bottom="920" w:gutter="0" w:footer="0" w:header="0"/>
        </w:sectPr>
      </w:pPr>
    </w:p>
    <w:p>
      <w:pPr>
        <w:spacing w:after="0" w:line="3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2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73"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1260" w:right="559"/>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 is not required to comply with the disclosure requirements of NI 33-105 regarding underwriter conflicts of interest in connection with this offering.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5" w:lineRule="exact"/>
        <w:rPr>
          <w:sz w:val="20"/>
          <w:szCs w:val="20"/>
          <w:color w:val="auto"/>
        </w:rPr>
      </w:pPr>
    </w:p>
    <w:p>
      <w:pPr>
        <w:ind w:left="1260" w:right="459"/>
        <w:spacing w:after="0" w:line="264" w:lineRule="auto"/>
        <w:rPr>
          <w:sz w:val="20"/>
          <w:szCs w:val="20"/>
          <w:color w:val="auto"/>
        </w:rPr>
      </w:pPr>
      <w:r>
        <w:rPr>
          <w:rFonts w:ascii="Arial" w:cs="Arial" w:eastAsia="Arial" w:hAnsi="Arial"/>
          <w:sz w:val="18"/>
          <w:szCs w:val="18"/>
          <w:color w:val="auto"/>
        </w:rPr>
        <w:t>The shares of Common Stock may not be publicly offered in Switzerland and will not be listed on the SIX Swiss Exchange, or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11"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of Common Stock have been or will be filed with or approved by any Swiss regulatory authority. In particular, this document will not be filed with, and the offer of shares of Common Stock will not be supervised by, the Swiss Financial Market Supervisory Authority,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5"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or the SFO,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5" w:lineRule="exact"/>
        <w:rPr>
          <w:sz w:val="20"/>
          <w:szCs w:val="20"/>
          <w:color w:val="auto"/>
        </w:rPr>
      </w:pPr>
    </w:p>
    <w:p>
      <w:pPr>
        <w:ind w:left="1260" w:right="479"/>
        <w:spacing w:after="0" w:line="264" w:lineRule="auto"/>
        <w:rPr>
          <w:sz w:val="20"/>
          <w:szCs w:val="20"/>
          <w:color w:val="auto"/>
        </w:rPr>
      </w:pPr>
      <w:r>
        <w:rPr>
          <w:rFonts w:ascii="Arial" w:cs="Arial" w:eastAsia="Arial" w:hAnsi="Arial"/>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whether directly or indirectly, to any person in Singapore other than:</w:t>
      </w:r>
    </w:p>
    <w:p>
      <w:pPr>
        <w:spacing w:after="0" w:line="111" w:lineRule="exact"/>
        <w:rPr>
          <w:sz w:val="20"/>
          <w:szCs w:val="20"/>
          <w:color w:val="auto"/>
        </w:rPr>
      </w:pPr>
    </w:p>
    <w:p>
      <w:pPr>
        <w:ind w:left="1260" w:right="639"/>
        <w:spacing w:after="0" w:line="284" w:lineRule="auto"/>
        <w:tabs>
          <w:tab w:leader="none" w:pos="15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659"/>
        <w:spacing w:after="0" w:line="292" w:lineRule="auto"/>
        <w:tabs>
          <w:tab w:leader="none" w:pos="15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5" w:lineRule="exact"/>
        <w:rPr>
          <w:rFonts w:ascii="Arial" w:cs="Arial" w:eastAsia="Arial" w:hAnsi="Arial"/>
          <w:sz w:val="18"/>
          <w:szCs w:val="18"/>
          <w:color w:val="auto"/>
        </w:rPr>
      </w:pPr>
    </w:p>
    <w:p>
      <w:pPr>
        <w:ind w:left="1260" w:right="419"/>
        <w:spacing w:after="0" w:line="303" w:lineRule="auto"/>
        <w:tabs>
          <w:tab w:leader="none" w:pos="15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85" w:lineRule="exact"/>
        <w:rPr>
          <w:sz w:val="20"/>
          <w:szCs w:val="20"/>
          <w:color w:val="auto"/>
        </w:rPr>
      </w:pPr>
    </w:p>
    <w:p>
      <w:pPr>
        <w:ind w:left="1260" w:right="599"/>
        <w:spacing w:after="0" w:line="318"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72" w:lineRule="exact"/>
        <w:rPr>
          <w:sz w:val="20"/>
          <w:szCs w:val="20"/>
          <w:color w:val="auto"/>
        </w:rPr>
      </w:pPr>
    </w:p>
    <w:p>
      <w:pPr>
        <w:jc w:val="both"/>
        <w:ind w:left="1260" w:right="639"/>
        <w:spacing w:after="0" w:line="284" w:lineRule="auto"/>
        <w:tabs>
          <w:tab w:leader="none" w:pos="15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260" w:right="459"/>
        <w:spacing w:after="0" w:line="279" w:lineRule="auto"/>
        <w:tabs>
          <w:tab w:leader="none" w:pos="15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8" w:lineRule="exact"/>
        <w:rPr>
          <w:rFonts w:ascii="Arial" w:cs="Arial" w:eastAsia="Arial" w:hAnsi="Arial"/>
          <w:sz w:val="18"/>
          <w:szCs w:val="18"/>
          <w:color w:val="auto"/>
        </w:rPr>
      </w:pPr>
    </w:p>
    <w:p>
      <w:pPr>
        <w:ind w:left="1580" w:right="739" w:firstLine="4"/>
        <w:spacing w:after="0" w:line="303" w:lineRule="auto"/>
        <w:tabs>
          <w:tab w:leader="none" w:pos="180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4" w:lineRule="exact"/>
        <w:rPr>
          <w:rFonts w:ascii="Arial" w:cs="Arial" w:eastAsia="Arial" w:hAnsi="Arial"/>
          <w:sz w:val="18"/>
          <w:szCs w:val="18"/>
          <w:color w:val="auto"/>
        </w:rPr>
      </w:pPr>
    </w:p>
    <w:p>
      <w:pPr>
        <w:ind w:left="1860" w:hanging="276"/>
        <w:spacing w:after="0"/>
        <w:tabs>
          <w:tab w:leader="none" w:pos="1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1900" w:hanging="316"/>
        <w:spacing w:after="0"/>
        <w:tabs>
          <w:tab w:leader="none" w:pos="1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1900" w:hanging="316"/>
        <w:spacing w:after="0"/>
        <w:tabs>
          <w:tab w:leader="none" w:pos="1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1580" w:right="999" w:firstLine="4"/>
        <w:spacing w:after="0" w:line="303" w:lineRule="auto"/>
        <w:tabs>
          <w:tab w:leader="none" w:pos="18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85"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the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8" w:lineRule="exact"/>
        <w:rPr>
          <w:sz w:val="20"/>
          <w:szCs w:val="20"/>
          <w:color w:val="auto"/>
        </w:rPr>
      </w:pPr>
    </w:p>
    <w:p>
      <w:pPr>
        <w:ind w:left="1260" w:right="439"/>
        <w:spacing w:after="0" w:line="274" w:lineRule="auto"/>
        <w:rPr>
          <w:sz w:val="20"/>
          <w:szCs w:val="20"/>
          <w:color w:val="auto"/>
        </w:rPr>
      </w:pPr>
      <w:r>
        <w:rPr>
          <w:rFonts w:ascii="Arial" w:cs="Arial" w:eastAsia="Arial" w:hAnsi="Arial"/>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48" w:lineRule="exact"/>
        <w:rPr>
          <w:sz w:val="20"/>
          <w:szCs w:val="20"/>
          <w:color w:val="auto"/>
        </w:rPr>
      </w:pPr>
    </w:p>
    <w:p>
      <w:pPr>
        <w:ind w:left="1260" w:right="479"/>
        <w:spacing w:after="0" w:line="276"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Dubai International Financial Centre, or the DIFC) other than in compliance with the laws of the United Arab Emirates (and the DIFC) governing the issue, offering and sale of securities. Further, this prospectus supplement does not constitute a public offer of securities in the United Arab Emirates (including the DIFC) and is not intended to be a public offer. This prospectus supplement has not been approved by</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019"/>
        <w:spacing w:after="0" w:line="303" w:lineRule="auto"/>
        <w:rPr>
          <w:sz w:val="20"/>
          <w:szCs w:val="20"/>
          <w:color w:val="auto"/>
        </w:rPr>
      </w:pPr>
      <w:r>
        <w:rPr>
          <w:rFonts w:ascii="Arial" w:cs="Arial" w:eastAsia="Arial" w:hAnsi="Arial"/>
          <w:sz w:val="18"/>
          <w:szCs w:val="18"/>
          <w:color w:val="auto"/>
        </w:rPr>
        <w:t>or filed with the Central Bank of the United Arab Emirates, the Securities and Commodities Authority or the Dubai Financial Services Authority, or the DFSA.</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35"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This prospectus supplement does not constitute a prospectus under the Israeli Securities Law, 5728—1968, or the Israeli Securities Law, and has not been filed with or approved by the Israel Securities Authority. In Israel, this prospectus supplement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prospectus supplement:</w:t>
      </w:r>
    </w:p>
    <w:p>
      <w:pPr>
        <w:spacing w:after="0" w:line="158" w:lineRule="exact"/>
        <w:rPr>
          <w:sz w:val="20"/>
          <w:szCs w:val="20"/>
          <w:color w:val="auto"/>
        </w:rPr>
      </w:pPr>
    </w:p>
    <w:p>
      <w:pPr>
        <w:ind w:left="1260" w:right="1179"/>
        <w:spacing w:after="0" w:line="287" w:lineRule="auto"/>
        <w:tabs>
          <w:tab w:leader="none" w:pos="15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or the Corporations Act;</w:t>
      </w:r>
    </w:p>
    <w:p>
      <w:pPr>
        <w:spacing w:after="0" w:line="98" w:lineRule="exact"/>
        <w:rPr>
          <w:rFonts w:ascii="Arial" w:cs="Arial" w:eastAsia="Arial" w:hAnsi="Arial"/>
          <w:sz w:val="18"/>
          <w:szCs w:val="18"/>
          <w:color w:val="auto"/>
        </w:rPr>
      </w:pPr>
    </w:p>
    <w:p>
      <w:pPr>
        <w:ind w:left="1260" w:right="499"/>
        <w:spacing w:after="0" w:line="273" w:lineRule="auto"/>
        <w:tabs>
          <w:tab w:leader="none" w:pos="15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97" w:lineRule="exact"/>
        <w:rPr>
          <w:rFonts w:ascii="Arial" w:cs="Arial" w:eastAsia="Arial" w:hAnsi="Arial"/>
          <w:sz w:val="18"/>
          <w:szCs w:val="18"/>
          <w:color w:val="auto"/>
        </w:rPr>
      </w:pPr>
    </w:p>
    <w:p>
      <w:pPr>
        <w:ind w:left="1260" w:right="419"/>
        <w:spacing w:after="0" w:line="276" w:lineRule="auto"/>
        <w:tabs>
          <w:tab w:leader="none" w:pos="15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09"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03" w:lineRule="exact"/>
        <w:rPr>
          <w:sz w:val="20"/>
          <w:szCs w:val="20"/>
          <w:color w:val="auto"/>
        </w:rPr>
      </w:pPr>
    </w:p>
    <w:p>
      <w:pPr>
        <w:ind w:left="1260" w:right="579"/>
        <w:spacing w:after="0" w:line="26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5"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This prospectus supplement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48" w:lineRule="exact"/>
        <w:rPr>
          <w:sz w:val="20"/>
          <w:szCs w:val="20"/>
          <w:color w:val="auto"/>
        </w:rPr>
      </w:pPr>
    </w:p>
    <w:p>
      <w:pPr>
        <w:ind w:left="1260" w:right="419"/>
        <w:spacing w:after="0" w:line="274" w:lineRule="auto"/>
        <w:rPr>
          <w:sz w:val="20"/>
          <w:szCs w:val="20"/>
          <w:color w:val="auto"/>
        </w:rPr>
      </w:pPr>
      <w:r>
        <w:rPr>
          <w:rFonts w:ascii="Arial" w:cs="Arial" w:eastAsia="Arial" w:hAnsi="Arial"/>
          <w:sz w:val="18"/>
          <w:szCs w:val="18"/>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39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w:t>
      </w:r>
    </w:p>
    <w:p>
      <w:pPr>
        <w:spacing w:after="0" w:line="148"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This document relates to an Exempt Offer in accordance with the Markets Rules 2012 of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349" w:lineRule="exact"/>
        <w:rPr>
          <w:sz w:val="20"/>
          <w:szCs w:val="20"/>
          <w:color w:val="auto"/>
        </w:rPr>
      </w:pPr>
    </w:p>
    <w:p>
      <w:pPr>
        <w:ind w:left="1260" w:right="419"/>
        <w:spacing w:after="0" w:line="28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48" w:lineRule="exact"/>
        <w:rPr>
          <w:sz w:val="20"/>
          <w:szCs w:val="20"/>
          <w:color w:val="auto"/>
        </w:rPr>
      </w:pPr>
    </w:p>
    <w:p>
      <w:pPr>
        <w:ind w:left="1260" w:right="499"/>
        <w:spacing w:after="0" w:line="279" w:lineRule="auto"/>
        <w:rPr>
          <w:sz w:val="20"/>
          <w:szCs w:val="20"/>
          <w:color w:val="auto"/>
        </w:rPr>
      </w:pPr>
      <w:r>
        <w:rPr>
          <w:rFonts w:ascii="Arial" w:cs="Arial" w:eastAsia="Arial" w:hAnsi="Arial"/>
          <w:sz w:val="18"/>
          <w:szCs w:val="18"/>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48" w:lineRule="exact"/>
        <w:rPr>
          <w:sz w:val="20"/>
          <w:szCs w:val="20"/>
          <w:color w:val="auto"/>
        </w:rPr>
      </w:pPr>
    </w:p>
    <w:p>
      <w:pPr>
        <w:ind w:left="1260" w:right="499"/>
        <w:spacing w:after="0" w:line="283" w:lineRule="auto"/>
        <w:rPr>
          <w:sz w:val="20"/>
          <w:szCs w:val="20"/>
          <w:color w:val="auto"/>
        </w:rPr>
      </w:pPr>
      <w:r>
        <w:rPr>
          <w:rFonts w:ascii="Arial" w:cs="Arial" w:eastAsia="Arial" w:hAnsi="Arial"/>
          <w:sz w:val="18"/>
          <w:szCs w:val="18"/>
          <w:color w:val="auto"/>
        </w:rPr>
        <w:t>The shares of Common Stock are not being, and may not be offered, to the public or to any person in the British Virgin Islands for purchase or subscription by or on behalf of the Company. The shares of Common Stock may be offered to companies incorporated under the BVI Business Companies Act, 2004 (British Virgin Islands), or the</w:t>
      </w:r>
    </w:p>
    <w:p>
      <w:pPr>
        <w:sectPr>
          <w:pgSz w:w="11900" w:h="16838" w:orient="portrait"/>
          <w:cols w:equalWidth="0" w:num="1">
            <w:col w:w="9879"/>
          </w:cols>
          <w:pgMar w:left="580" w:top="97" w:right="1440" w:bottom="866" w:gutter="0" w:footer="0" w:header="0"/>
        </w:sectPr>
      </w:pPr>
    </w:p>
    <w:p>
      <w:pPr>
        <w:spacing w:after="0" w:line="37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66"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999"/>
        <w:spacing w:after="0" w:line="318" w:lineRule="auto"/>
        <w:rPr>
          <w:sz w:val="20"/>
          <w:szCs w:val="20"/>
          <w:color w:val="auto"/>
        </w:rPr>
      </w:pPr>
      <w:r>
        <w:rPr>
          <w:rFonts w:ascii="Arial" w:cs="Arial" w:eastAsia="Arial" w:hAnsi="Arial"/>
          <w:sz w:val="18"/>
          <w:szCs w:val="18"/>
          <w:color w:val="auto"/>
        </w:rPr>
        <w:t>BVI Companies, but only where the offer will be made to, and received by, the relevant BVI Company entirely outside of the British Virgin Islands.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48" w:lineRule="exact"/>
        <w:rPr>
          <w:sz w:val="20"/>
          <w:szCs w:val="20"/>
          <w:color w:val="auto"/>
        </w:rPr>
      </w:pPr>
    </w:p>
    <w:p>
      <w:pPr>
        <w:ind w:left="1260" w:right="419"/>
        <w:spacing w:after="0" w:line="272"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of Common Stock has been or will be registered with the Securities Commission of Malaysia, or the Commission, for the Commission’s approval pursuant to the Capital Markets and Services Act 2007. Accordingly, this prospectus supplement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Common Stock, as principal, if the offer is on terms that the shares of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Common Stock is made by a holder of a Capital Markets Services Licence who carries on the business of dealing in securities. The distribution in Malaysia of this prospectus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4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The shares of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Common Stock in Taiwan.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48" w:lineRule="exact"/>
        <w:rPr>
          <w:sz w:val="20"/>
          <w:szCs w:val="20"/>
          <w:color w:val="auto"/>
        </w:rPr>
      </w:pPr>
    </w:p>
    <w:p>
      <w:pPr>
        <w:ind w:left="1260" w:right="419"/>
        <w:spacing w:after="0" w:line="292" w:lineRule="auto"/>
        <w:rPr>
          <w:sz w:val="20"/>
          <w:szCs w:val="20"/>
          <w:color w:val="auto"/>
        </w:rPr>
      </w:pPr>
      <w:r>
        <w:rPr>
          <w:rFonts w:ascii="Arial" w:cs="Arial" w:eastAsia="Arial" w:hAnsi="Arial"/>
          <w:sz w:val="18"/>
          <w:szCs w:val="18"/>
          <w:color w:val="auto"/>
        </w:rPr>
        <w:t>Due to restrictions under the securities laws of South Africa, the shares of Common Stock are not offered, and the offer shall not be transferred, sold, renounced or delivered, in South Africa or to a person with an address in South Africa, unless one or other of the following exemptions applies:</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Section 96(1)(a): the offer, transfer, sale, renunciation or delivery is to:</w:t>
      </w:r>
    </w:p>
    <w:p>
      <w:pPr>
        <w:spacing w:after="0" w:line="171" w:lineRule="exact"/>
        <w:rPr>
          <w:sz w:val="20"/>
          <w:szCs w:val="20"/>
          <w:color w:val="auto"/>
        </w:rPr>
      </w:pPr>
    </w:p>
    <w:p>
      <w:pPr>
        <w:ind w:left="1260" w:right="519"/>
        <w:spacing w:after="0" w:line="303" w:lineRule="auto"/>
        <w:tabs>
          <w:tab w:leader="none" w:pos="15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84" w:lineRule="exact"/>
        <w:rPr>
          <w:rFonts w:ascii="Arial" w:cs="Arial" w:eastAsia="Arial" w:hAnsi="Arial"/>
          <w:sz w:val="18"/>
          <w:szCs w:val="18"/>
          <w:color w:val="auto"/>
        </w:rPr>
      </w:pPr>
    </w:p>
    <w:p>
      <w:pPr>
        <w:ind w:left="1540" w:hanging="280"/>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71" w:lineRule="exact"/>
        <w:rPr>
          <w:rFonts w:ascii="Arial" w:cs="Arial" w:eastAsia="Arial" w:hAnsi="Arial"/>
          <w:sz w:val="18"/>
          <w:szCs w:val="18"/>
          <w:color w:val="auto"/>
        </w:rPr>
      </w:pPr>
    </w:p>
    <w:p>
      <w:pPr>
        <w:ind w:left="1540" w:hanging="280"/>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40" w:hanging="280"/>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71" w:lineRule="exact"/>
        <w:rPr>
          <w:rFonts w:ascii="Arial" w:cs="Arial" w:eastAsia="Arial" w:hAnsi="Arial"/>
          <w:sz w:val="18"/>
          <w:szCs w:val="18"/>
          <w:color w:val="auto"/>
        </w:rPr>
      </w:pPr>
    </w:p>
    <w:p>
      <w:pPr>
        <w:ind w:left="1540" w:hanging="280"/>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71" w:lineRule="exact"/>
        <w:rPr>
          <w:rFonts w:ascii="Arial" w:cs="Arial" w:eastAsia="Arial" w:hAnsi="Arial"/>
          <w:sz w:val="18"/>
          <w:szCs w:val="18"/>
          <w:color w:val="auto"/>
        </w:rPr>
      </w:pPr>
    </w:p>
    <w:p>
      <w:pPr>
        <w:ind w:left="1260" w:right="559"/>
        <w:spacing w:after="0" w:line="292" w:lineRule="auto"/>
        <w:tabs>
          <w:tab w:leader="none" w:pos="14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95" w:lineRule="exact"/>
        <w:rPr>
          <w:rFonts w:ascii="Arial" w:cs="Arial" w:eastAsia="Arial" w:hAnsi="Arial"/>
          <w:sz w:val="18"/>
          <w:szCs w:val="18"/>
          <w:color w:val="auto"/>
        </w:rPr>
      </w:pPr>
    </w:p>
    <w:p>
      <w:pPr>
        <w:ind w:left="1540" w:hanging="280"/>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combination of the persons in (i) to (vi); or</w:t>
      </w:r>
    </w:p>
    <w:p>
      <w:pPr>
        <w:spacing w:after="0" w:line="171" w:lineRule="exact"/>
        <w:rPr>
          <w:sz w:val="20"/>
          <w:szCs w:val="20"/>
          <w:color w:val="auto"/>
        </w:rPr>
      </w:pPr>
    </w:p>
    <w:p>
      <w:pPr>
        <w:ind w:left="1260" w:right="519"/>
        <w:spacing w:after="0" w:line="283" w:lineRule="auto"/>
        <w:rPr>
          <w:sz w:val="20"/>
          <w:szCs w:val="20"/>
          <w:color w:val="auto"/>
        </w:rPr>
      </w:pPr>
      <w:r>
        <w:rPr>
          <w:rFonts w:ascii="Arial" w:cs="Arial" w:eastAsia="Arial" w:hAnsi="Arial"/>
          <w:sz w:val="18"/>
          <w:szCs w:val="18"/>
          <w:color w:val="auto"/>
        </w:rPr>
        <w:t>Section 96(1)(b): the total contemplated acquisition cost of the securities, for a single addressee acting as principal is equal to or greater than ZAR1,000,000 or such higher amount as may be promulgated by notice in the Government Gazette of South Africa pursuant to section 96(2)(a) of the South African Companies Act.</w:t>
      </w:r>
    </w:p>
    <w:p>
      <w:pPr>
        <w:spacing w:after="0" w:line="104" w:lineRule="exact"/>
        <w:rPr>
          <w:sz w:val="20"/>
          <w:szCs w:val="20"/>
          <w:color w:val="auto"/>
        </w:rPr>
      </w:pPr>
    </w:p>
    <w:p>
      <w:pPr>
        <w:ind w:left="1260" w:right="619"/>
        <w:spacing w:after="0" w:line="303" w:lineRule="auto"/>
        <w:rPr>
          <w:sz w:val="20"/>
          <w:szCs w:val="20"/>
          <w:color w:val="auto"/>
        </w:rPr>
      </w:pPr>
      <w:r>
        <w:rPr>
          <w:rFonts w:ascii="Arial" w:cs="Arial" w:eastAsia="Arial" w:hAnsi="Arial"/>
          <w:sz w:val="18"/>
          <w:szCs w:val="18"/>
          <w:color w:val="auto"/>
        </w:rPr>
        <w:t>Information made available in this prospectus supplement should not be considered as “advice” as defined in the South African Financial Advisory and Intermediary Services Act, 2002.</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Relationships</w:t>
      </w:r>
    </w:p>
    <w:p>
      <w:pPr>
        <w:spacing w:after="0" w:line="148" w:lineRule="exact"/>
        <w:rPr>
          <w:sz w:val="20"/>
          <w:szCs w:val="20"/>
          <w:color w:val="auto"/>
        </w:rPr>
      </w:pPr>
    </w:p>
    <w:p>
      <w:pPr>
        <w:ind w:left="1260" w:right="499"/>
        <w:spacing w:after="0" w:line="274" w:lineRule="auto"/>
        <w:rPr>
          <w:sz w:val="20"/>
          <w:szCs w:val="20"/>
          <w:color w:val="auto"/>
        </w:rPr>
      </w:pPr>
      <w:r>
        <w:rPr>
          <w:rFonts w:ascii="Arial" w:cs="Arial" w:eastAsia="Arial" w:hAnsi="Arial"/>
          <w:sz w:val="18"/>
          <w:szCs w:val="18"/>
          <w:color w:val="auto"/>
        </w:rPr>
        <w:t>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For example, an affiliate of J.P. Morgan Securities LLC is the administrative agent, lead arranger and a lender under our 2023 Term Loan A Facility. In addition, from time to time, the underwriter and its affiliates may effect transactions for its own account or the account of customers, and hold on behalf of itself or its customers, long or short positions in our debt or equity securities or loans, and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Validity of the common stock</w:t>
      </w:r>
    </w:p>
    <w:p>
      <w:pPr>
        <w:spacing w:after="0" w:line="168" w:lineRule="exact"/>
        <w:rPr>
          <w:sz w:val="20"/>
          <w:szCs w:val="20"/>
          <w:color w:val="auto"/>
        </w:rPr>
      </w:pPr>
    </w:p>
    <w:p>
      <w:pPr>
        <w:ind w:left="1260" w:right="439"/>
        <w:spacing w:after="0" w:line="279" w:lineRule="auto"/>
        <w:rPr>
          <w:sz w:val="20"/>
          <w:szCs w:val="20"/>
          <w:color w:val="auto"/>
        </w:rPr>
      </w:pPr>
      <w:r>
        <w:rPr>
          <w:rFonts w:ascii="Arial" w:cs="Arial" w:eastAsia="Arial" w:hAnsi="Arial"/>
          <w:sz w:val="18"/>
          <w:szCs w:val="18"/>
          <w:color w:val="auto"/>
        </w:rPr>
        <w:t>The validity of the Common Stock that is offered hereby by the selling shareholders and certain other legal matters will be passed upon for us by Latham &amp; Watkins LLP, Chicago, Illinois. Vedder Price P.C., Chicago, Illinois, is acting as counsel for the selling shareholders. Certain legal matters in connection with this offering will be passed upon for the underwriter by Paul Hastings LLP, New York, New York.</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Experts</w:t>
      </w:r>
    </w:p>
    <w:p>
      <w:pPr>
        <w:spacing w:after="0" w:line="168" w:lineRule="exact"/>
        <w:rPr>
          <w:sz w:val="20"/>
          <w:szCs w:val="20"/>
          <w:color w:val="auto"/>
        </w:rPr>
      </w:pPr>
    </w:p>
    <w:p>
      <w:pPr>
        <w:ind w:left="1260" w:right="479"/>
        <w:spacing w:after="0" w:line="278" w:lineRule="auto"/>
        <w:rPr>
          <w:sz w:val="20"/>
          <w:szCs w:val="20"/>
          <w:color w:val="auto"/>
        </w:rPr>
      </w:pPr>
      <w:r>
        <w:rPr>
          <w:rFonts w:ascii="Arial" w:cs="Arial" w:eastAsia="Arial" w:hAnsi="Arial"/>
          <w:sz w:val="18"/>
          <w:szCs w:val="18"/>
          <w:color w:val="auto"/>
        </w:rPr>
        <w:t>The financial statements of Harmony Biosciences Holdings, Inc. incorporated by reference in this Prospectus, and the effectiveness of Harmony Biosciences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99"/>
        <w:spacing w:after="0" w:line="268" w:lineRule="auto"/>
        <w:rPr>
          <w:sz w:val="20"/>
          <w:szCs w:val="20"/>
          <w:color w:val="auto"/>
        </w:rPr>
      </w:pPr>
      <w:r>
        <w:rPr>
          <w:rFonts w:ascii="Arial" w:cs="Arial" w:eastAsia="Arial" w:hAnsi="Arial"/>
          <w:sz w:val="29"/>
          <w:szCs w:val="29"/>
          <w:b w:val="1"/>
          <w:bCs w:val="1"/>
          <w:color w:val="auto"/>
        </w:rPr>
        <w:t>Where you can find more information; incorporation by reference</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Available Information</w:t>
      </w:r>
    </w:p>
    <w:p>
      <w:pPr>
        <w:spacing w:after="0" w:line="148" w:lineRule="exact"/>
        <w:rPr>
          <w:sz w:val="20"/>
          <w:szCs w:val="20"/>
          <w:color w:val="auto"/>
        </w:rPr>
      </w:pPr>
    </w:p>
    <w:p>
      <w:pPr>
        <w:ind w:left="1260" w:right="739"/>
        <w:spacing w:after="0" w:line="299" w:lineRule="auto"/>
        <w:rPr>
          <w:sz w:val="20"/>
          <w:szCs w:val="20"/>
          <w:color w:val="auto"/>
        </w:rPr>
      </w:pPr>
      <w:r>
        <w:rPr>
          <w:rFonts w:ascii="Arial" w:cs="Arial" w:eastAsia="Arial" w:hAnsi="Arial"/>
          <w:sz w:val="18"/>
          <w:szCs w:val="18"/>
          <w:color w:val="auto"/>
        </w:rPr>
        <w:t>We file annual, quarterly, current and other reports with the SEC under the Exchange Act (File No. 001-39450). Our SEC filings are available to the public through the SEC’s website at www.sec.gov.</w:t>
      </w:r>
    </w:p>
    <w:p>
      <w:pPr>
        <w:spacing w:after="0" w:line="321"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Our internet address is www.harmonybiosciences.com.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into this prospectus and you should not consider information contained on our website as part of this prospectus.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Incorporation by Reference</w:t>
      </w:r>
    </w:p>
    <w:p>
      <w:pPr>
        <w:spacing w:after="0" w:line="148" w:lineRule="exact"/>
        <w:rPr>
          <w:sz w:val="20"/>
          <w:szCs w:val="20"/>
          <w:color w:val="auto"/>
        </w:rPr>
      </w:pPr>
    </w:p>
    <w:p>
      <w:pPr>
        <w:ind w:left="1260" w:right="479"/>
        <w:spacing w:after="0" w:line="278"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and information that we file later with the SEC will automatically update and supersede this information.</w:t>
      </w:r>
    </w:p>
    <w:p>
      <w:pPr>
        <w:spacing w:after="0" w:line="343" w:lineRule="exact"/>
        <w:rPr>
          <w:sz w:val="20"/>
          <w:szCs w:val="20"/>
          <w:color w:val="auto"/>
        </w:rPr>
      </w:pPr>
    </w:p>
    <w:p>
      <w:pPr>
        <w:ind w:left="1260" w:right="539"/>
        <w:spacing w:after="0" w:line="281" w:lineRule="auto"/>
        <w:rPr>
          <w:sz w:val="20"/>
          <w:szCs w:val="20"/>
          <w:color w:val="auto"/>
        </w:rPr>
      </w:pPr>
      <w:r>
        <w:rPr>
          <w:rFonts w:ascii="Arial" w:cs="Arial" w:eastAsia="Arial" w:hAnsi="Arial"/>
          <w:sz w:val="18"/>
          <w:szCs w:val="18"/>
          <w:color w:val="auto"/>
        </w:rPr>
        <w:t>We incorporate by reference in this prospectus the documents listed below and any subsequent filings we make with the SEC under Sections 13(a), 13(c), 14 or 15(d) of the Exchange Act (in each case, excluding information deemed to be furnished and not filed with the SEC) until all offerings under the registration statement of which this prospectus forms a part are completed or terminated:</w:t>
      </w:r>
    </w:p>
    <w:p>
      <w:pPr>
        <w:spacing w:after="0" w:line="313" w:lineRule="exact"/>
        <w:rPr>
          <w:sz w:val="20"/>
          <w:szCs w:val="20"/>
          <w:color w:val="auto"/>
        </w:rPr>
      </w:pPr>
    </w:p>
    <w:p>
      <w:pPr>
        <w:ind w:left="1400" w:right="519" w:hanging="140"/>
        <w:spacing w:after="0" w:line="303" w:lineRule="auto"/>
        <w:tabs>
          <w:tab w:leader="none" w:pos="1400" w:val="left"/>
        </w:tabs>
        <w:numPr>
          <w:ilvl w:val="0"/>
          <w:numId w:val="21"/>
        </w:numPr>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Our Annual Report on Form 10-K for the year ended December 31, 2023, as filed with the SEC</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on February 22, 2024 (and the amendment thereto filed on February 28, 2024);</w:t>
        </w:r>
      </w:hyperlink>
    </w:p>
    <w:p>
      <w:pPr>
        <w:spacing w:after="0" w:line="44" w:lineRule="exact"/>
        <w:rPr>
          <w:rFonts w:ascii="Arial" w:cs="Arial" w:eastAsia="Arial" w:hAnsi="Arial"/>
          <w:sz w:val="18"/>
          <w:szCs w:val="18"/>
          <w:u w:val="single" w:color="auto"/>
          <w:color w:val="0000EE"/>
        </w:rPr>
      </w:pPr>
    </w:p>
    <w:p>
      <w:pPr>
        <w:ind w:left="1400" w:right="479" w:hanging="140"/>
        <w:spacing w:after="0" w:line="318" w:lineRule="auto"/>
        <w:tabs>
          <w:tab w:leader="none" w:pos="1400" w:val="left"/>
        </w:tabs>
        <w:numPr>
          <w:ilvl w:val="0"/>
          <w:numId w:val="21"/>
        </w:numPr>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The information specifically incorporated by reference into our Annual Report on Form 10-K</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from our Definitive Proxy Statement on Schedule 14A, filed with the SEC on April 11, 2024; and</w:t>
        </w:r>
      </w:hyperlink>
    </w:p>
    <w:p>
      <w:pPr>
        <w:spacing w:after="0" w:line="31" w:lineRule="exact"/>
        <w:rPr>
          <w:rFonts w:ascii="Arial" w:cs="Arial" w:eastAsia="Arial" w:hAnsi="Arial"/>
          <w:sz w:val="18"/>
          <w:szCs w:val="18"/>
          <w:u w:val="single" w:color="auto"/>
          <w:color w:val="0000EE"/>
        </w:rPr>
      </w:pPr>
    </w:p>
    <w:p>
      <w:pPr>
        <w:ind w:left="1400" w:right="419" w:hanging="140"/>
        <w:spacing w:after="0" w:line="292" w:lineRule="auto"/>
        <w:tabs>
          <w:tab w:leader="none" w:pos="140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2024, June 30, 2024 and </w:t>
      </w:r>
      <w:hyperlink r:id="rId65">
        <w:r>
          <w:rPr>
            <w:rFonts w:ascii="Arial" w:cs="Arial" w:eastAsia="Arial" w:hAnsi="Arial"/>
            <w:sz w:val="18"/>
            <w:szCs w:val="18"/>
            <w:color w:val="auto"/>
          </w:rPr>
          <w:t xml:space="preserve">September 30, 2024 as filed with the SEC on </w:t>
        </w:r>
        <w:r>
          <w:rPr>
            <w:rFonts w:ascii="Arial" w:cs="Arial" w:eastAsia="Arial" w:hAnsi="Arial"/>
            <w:sz w:val="18"/>
            <w:szCs w:val="18"/>
            <w:u w:val="single" w:color="auto"/>
            <w:color w:val="0000EE"/>
          </w:rPr>
          <w:t>April 30,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6, 2024</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October 29,</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2024</w:t>
        </w:r>
        <w:r>
          <w:rPr>
            <w:rFonts w:ascii="Arial" w:cs="Arial" w:eastAsia="Arial" w:hAnsi="Arial"/>
            <w:sz w:val="18"/>
            <w:szCs w:val="18"/>
            <w:color w:val="000000"/>
          </w:rPr>
          <w:t>, respectively;</w:t>
        </w:r>
      </w:hyperlink>
    </w:p>
    <w:p>
      <w:pPr>
        <w:spacing w:after="0" w:line="54" w:lineRule="exact"/>
        <w:rPr>
          <w:rFonts w:ascii="Arial" w:cs="Arial" w:eastAsia="Arial" w:hAnsi="Arial"/>
          <w:sz w:val="18"/>
          <w:szCs w:val="18"/>
          <w:color w:val="0000EE"/>
        </w:rPr>
      </w:pPr>
    </w:p>
    <w:p>
      <w:pPr>
        <w:ind w:left="1400" w:right="1119" w:hanging="140"/>
        <w:spacing w:after="0" w:line="303" w:lineRule="auto"/>
        <w:tabs>
          <w:tab w:leader="none" w:pos="140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66">
        <w:r>
          <w:rPr>
            <w:rFonts w:ascii="Arial" w:cs="Arial" w:eastAsia="Arial" w:hAnsi="Arial"/>
            <w:sz w:val="18"/>
            <w:szCs w:val="18"/>
            <w:u w:val="single" w:color="auto"/>
            <w:color w:val="0000EE"/>
          </w:rPr>
          <w:t>April 11, 2024</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May 3, 2024</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May 29, 2024</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69">
        <w:r>
          <w:rPr>
            <w:rFonts w:ascii="Arial" w:cs="Arial" w:eastAsia="Arial" w:hAnsi="Arial"/>
            <w:sz w:val="18"/>
            <w:szCs w:val="18"/>
            <w:u w:val="single" w:color="auto"/>
            <w:color w:val="0000EE"/>
          </w:rPr>
          <w:t>July 1, 2024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57" w:lineRule="exact"/>
        <w:rPr>
          <w:rFonts w:ascii="Arial" w:cs="Arial" w:eastAsia="Arial" w:hAnsi="Arial"/>
          <w:sz w:val="18"/>
          <w:szCs w:val="18"/>
          <w:color w:val="0000EE"/>
        </w:rPr>
      </w:pPr>
    </w:p>
    <w:p>
      <w:pPr>
        <w:jc w:val="both"/>
        <w:ind w:left="1400" w:right="679" w:hanging="140"/>
        <w:spacing w:after="0" w:line="284"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w:t>
      </w:r>
      <w:hyperlink r:id="rId70">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filed with the SEC on March 25, 2021 and any amendment or report filed with the SEC for the purpose of updating the description.</w:t>
      </w:r>
    </w:p>
    <w:p>
      <w:pPr>
        <w:spacing w:after="0" w:line="102" w:lineRule="exact"/>
        <w:rPr>
          <w:rFonts w:ascii="Arial" w:cs="Arial" w:eastAsia="Arial" w:hAnsi="Arial"/>
          <w:sz w:val="18"/>
          <w:szCs w:val="18"/>
          <w:color w:val="0000EE"/>
        </w:rPr>
      </w:pPr>
    </w:p>
    <w:p>
      <w:pPr>
        <w:ind w:left="1260" w:right="659"/>
        <w:spacing w:after="0" w:line="292"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95" w:lineRule="exact"/>
        <w:rPr>
          <w:rFonts w:ascii="Arial" w:cs="Arial" w:eastAsia="Arial" w:hAnsi="Arial"/>
          <w:sz w:val="18"/>
          <w:szCs w:val="18"/>
          <w:color w:val="0000EE"/>
        </w:rPr>
      </w:pPr>
    </w:p>
    <w:p>
      <w:pPr>
        <w:jc w:val="center"/>
        <w:ind w:right="-780"/>
        <w:spacing w:after="0"/>
        <w:rPr>
          <w:sz w:val="20"/>
          <w:szCs w:val="20"/>
          <w:color w:val="auto"/>
        </w:rPr>
      </w:pPr>
      <w:r>
        <w:rPr>
          <w:rFonts w:ascii="Arial" w:cs="Arial" w:eastAsia="Arial" w:hAnsi="Arial"/>
          <w:sz w:val="18"/>
          <w:szCs w:val="18"/>
          <w:color w:val="auto"/>
        </w:rPr>
        <w:t>HARMONY BIOSCIENCES HOLDINGS, INC.</w:t>
      </w:r>
    </w:p>
    <w:p>
      <w:pPr>
        <w:spacing w:after="0" w:line="32" w:lineRule="exact"/>
        <w:rPr>
          <w:rFonts w:ascii="Arial" w:cs="Arial" w:eastAsia="Arial" w:hAnsi="Arial"/>
          <w:sz w:val="18"/>
          <w:szCs w:val="18"/>
          <w:color w:val="0000EE"/>
        </w:rPr>
      </w:pPr>
    </w:p>
    <w:p>
      <w:pPr>
        <w:jc w:val="center"/>
        <w:ind w:right="-780"/>
        <w:spacing w:after="0"/>
        <w:rPr>
          <w:sz w:val="20"/>
          <w:szCs w:val="20"/>
          <w:color w:val="auto"/>
        </w:rPr>
      </w:pPr>
      <w:r>
        <w:rPr>
          <w:rFonts w:ascii="Arial" w:cs="Arial" w:eastAsia="Arial" w:hAnsi="Arial"/>
          <w:sz w:val="18"/>
          <w:szCs w:val="18"/>
          <w:color w:val="auto"/>
        </w:rPr>
        <w:t>630 W. GERMANTOWN PIKE, SUITE 215</w:t>
      </w:r>
    </w:p>
    <w:p>
      <w:pPr>
        <w:spacing w:after="0" w:line="27" w:lineRule="exact"/>
        <w:rPr>
          <w:rFonts w:ascii="Arial" w:cs="Arial" w:eastAsia="Arial" w:hAnsi="Arial"/>
          <w:sz w:val="18"/>
          <w:szCs w:val="18"/>
          <w:color w:val="0000EE"/>
        </w:rPr>
      </w:pPr>
    </w:p>
    <w:p>
      <w:pPr>
        <w:jc w:val="center"/>
        <w:ind w:right="-780"/>
        <w:spacing w:after="0"/>
        <w:rPr>
          <w:sz w:val="20"/>
          <w:szCs w:val="20"/>
          <w:color w:val="auto"/>
        </w:rPr>
      </w:pPr>
      <w:r>
        <w:rPr>
          <w:rFonts w:ascii="Arial" w:cs="Arial" w:eastAsia="Arial" w:hAnsi="Arial"/>
          <w:sz w:val="18"/>
          <w:szCs w:val="18"/>
          <w:color w:val="auto"/>
        </w:rPr>
        <w:t>PLYMOUTH MEETING, PA 19462</w:t>
      </w:r>
    </w:p>
    <w:p>
      <w:pPr>
        <w:spacing w:after="0" w:line="32" w:lineRule="exact"/>
        <w:rPr>
          <w:rFonts w:ascii="Arial" w:cs="Arial" w:eastAsia="Arial" w:hAnsi="Arial"/>
          <w:sz w:val="18"/>
          <w:szCs w:val="18"/>
          <w:color w:val="0000EE"/>
        </w:rPr>
      </w:pPr>
    </w:p>
    <w:p>
      <w:pPr>
        <w:ind w:left="4720"/>
        <w:spacing w:after="0"/>
        <w:rPr>
          <w:sz w:val="20"/>
          <w:szCs w:val="20"/>
          <w:color w:val="auto"/>
        </w:rPr>
      </w:pPr>
      <w:r>
        <w:rPr>
          <w:rFonts w:ascii="Arial" w:cs="Arial" w:eastAsia="Arial" w:hAnsi="Arial"/>
          <w:sz w:val="18"/>
          <w:szCs w:val="18"/>
          <w:color w:val="auto"/>
        </w:rPr>
        <w:t>(484) 539-9800</w:t>
      </w:r>
    </w:p>
    <w:p>
      <w:pPr>
        <w:sectPr>
          <w:pgSz w:w="11900" w:h="16838" w:orient="portrait"/>
          <w:cols w:equalWidth="0" w:num="1">
            <w:col w:w="9879"/>
          </w:cols>
          <w:pgMar w:left="580" w:top="97" w:right="1440" w:bottom="1440" w:gutter="0" w:footer="0" w:header="0"/>
        </w:sect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37" w:lineRule="exact"/>
        <w:rPr>
          <w:rFonts w:ascii="Arial" w:cs="Arial" w:eastAsia="Arial" w:hAnsi="Arial"/>
          <w:sz w:val="18"/>
          <w:szCs w:val="18"/>
          <w:color w:val="0000EE"/>
        </w:rPr>
      </w:pPr>
    </w:p>
    <w:p>
      <w:pPr>
        <w:ind w:left="5140"/>
        <w:spacing w:after="0"/>
        <w:rPr>
          <w:sz w:val="20"/>
          <w:szCs w:val="20"/>
          <w:color w:val="auto"/>
        </w:rPr>
      </w:pPr>
      <w:r>
        <w:rPr>
          <w:rFonts w:ascii="Arial" w:cs="Arial" w:eastAsia="Arial" w:hAnsi="Arial"/>
          <w:sz w:val="18"/>
          <w:szCs w:val="18"/>
          <w:color w:val="auto"/>
        </w:rPr>
        <w:t>S-27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131445</wp:posOffset>
            </wp:positionV>
            <wp:extent cx="1920240"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9202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HARMONY BIOSCIENCES HOLDINGS, INC.</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07"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13"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“HRMY.” On November 8, 2021, the last reported sale price of our common stock on the Nasdaq Global Market was $42.58 per share.</w:t>
      </w:r>
    </w:p>
    <w:p>
      <w:pPr>
        <w:spacing w:after="0" w:line="90"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2270125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right="1180"/>
        <w:spacing w:after="0" w:line="313" w:lineRule="auto"/>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that we filed with the Securities and Exchange Commission, or the SEC, as a “well-known seasoned issuer” as defined in Rule 405 under the Securities Act of 1933, as amended, or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To the extent that any statement made in a prospectus supplement is inconsistent with statements made in this prospectus, the statements made in this prospectus will be deemed modified or superseded by those made in the prospectus supplement. Before purchasing any securities, you should carefully read this prospectus and any accompanying prospectus supplement, as well as any post-effective amendments to the registration statement of which this prospectus is a part, together with the additional information described under the heading “Where You Can Find More Information; Incorporation by Reference” before making any investment decision.</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33"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When we refer to “Harmony,” “we,” “our,” “us” and the “Company” in this prospectus, we mean Harmony Biosciences Holdings, Inc. and its consolidated subsidiaries, unless otherwise specified. When we refer to “you,” we mean the potential holders of the applicable series of securities.</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This prospectus includes certain trademarks and trade names, including the registered trademark product name “WAKIX,” which we have in -licensed from Bioprojet Société Civile de Recherche, or Bioprojet, for use in the United States, and the registered trademarks “KNOW NARCOLEPSY,” “REM AT THE WRONG TIME,” and “NON-REM AT THE WRONG TIME,” as well as our brand and logo “HB,” “HB HARMONY BIOSCIENCES” and “HARMONY BIOSCIENCES,” which are protected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or licensor will not assert, to the fullest extent permitted under applicable law, all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including the information we incorporate by reference herein or therein, contain “forward-looking statements” within the meaning of Section 27A of the Securities Act and Section 21E of the Exchange Act. These statements include statements about our plans, strategies, financial performance, prospects or future events and involve known and unknown risks that are difficult to predict. As a result, our actual results, performance or achievements may differ materially from those expressed or implied by these forward-looking statements. In some cases, you can identify forward-looking statements by the use of words such as “will,” “may,” “expect,” “would,” “could,” “might,” “intend,” “plan,” “believe,” “estimate,” “anticipate,” “deliver,” “seek,” “aim,” “potential,” “target,” “outlook,” and variations of these terms and similar expressions, or the negative of these terms or similar expressions.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w:t>
      </w:r>
    </w:p>
    <w:p>
      <w:pPr>
        <w:spacing w:after="0" w:line="290"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efforts and strategy for WAKIX;</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pitolisant in additional indications, if approved, and any other product candidates we may develop or acquire, if approved;</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plans, including our plans to explore the therapeutic potential of pitolisant in additional indications;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clinical trials;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scope of our license agreement with Bioprojet;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favorable insurance coverage and reimbursement for WAKIX;</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regulatory approvals for pitolisant for other indications as well as any other product candidates;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additional financing needs;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10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58"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Because forward- 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 looking statements contained in this prospectus and any accompanying prospectus supplement and the documents incorporated by reference herein and therein and any free writing prospectus, whether as a result of any new information, future events, changed circumstances or otherwise.</w:t>
      </w:r>
    </w:p>
    <w:p>
      <w:pPr>
        <w:spacing w:after="0" w:line="32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and any accompanying prospectus supplement concerning our industry, including industry statistics and forecasts, competitive position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www.harmonybiosciences.com</w:t>
      </w:r>
      <w:r>
        <w:rPr>
          <w:rFonts w:ascii="Times New Roman" w:cs="Times New Roman" w:eastAsia="Times New Roman" w:hAnsi="Times New Roman"/>
          <w:sz w:val="18"/>
          <w:szCs w:val="18"/>
          <w:color w:val="auto"/>
        </w:rPr>
        <w:t>. The information on our web site, however, is not, and should not be deemed to be, a part of this prospectus. We have included our website address in this prospectus supplement solely as an inactive textual reference.</w:t>
      </w:r>
    </w:p>
    <w:p>
      <w:pPr>
        <w:spacing w:after="0" w:line="109"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28"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 (other than those documents or the portions of those documents not deemed to be filed):</w:t>
      </w:r>
    </w:p>
    <w:p>
      <w:pPr>
        <w:spacing w:after="0" w:line="61" w:lineRule="exact"/>
        <w:rPr>
          <w:sz w:val="20"/>
          <w:szCs w:val="20"/>
          <w:color w:val="auto"/>
        </w:rPr>
      </w:pPr>
    </w:p>
    <w:p>
      <w:pPr>
        <w:ind w:left="1800" w:right="839" w:hanging="180"/>
        <w:spacing w:after="0" w:line="282" w:lineRule="auto"/>
        <w:tabs>
          <w:tab w:leader="none" w:pos="1800" w:val="left"/>
        </w:tabs>
        <w:numPr>
          <w:ilvl w:val="0"/>
          <w:numId w:val="23"/>
        </w:numPr>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Our Annual Report on Form 10-K for the year ended December 31, 2020, filed with the SEC on</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March 25, 2021;</w:t>
        </w:r>
      </w:hyperlink>
    </w:p>
    <w:p>
      <w:pPr>
        <w:spacing w:after="0" w:line="40" w:lineRule="exact"/>
        <w:rPr>
          <w:rFonts w:ascii="Times New Roman" w:cs="Times New Roman" w:eastAsia="Times New Roman" w:hAnsi="Times New Roman"/>
          <w:sz w:val="18"/>
          <w:szCs w:val="18"/>
          <w:u w:val="single" w:color="auto"/>
          <w:color w:val="0000EE"/>
        </w:rPr>
      </w:pPr>
    </w:p>
    <w:p>
      <w:pPr>
        <w:ind w:left="1800" w:right="6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86">
        <w:r>
          <w:rPr>
            <w:rFonts w:ascii="Times New Roman" w:cs="Times New Roman" w:eastAsia="Times New Roman" w:hAnsi="Times New Roman"/>
            <w:sz w:val="18"/>
            <w:szCs w:val="18"/>
            <w:u w:val="single" w:color="auto"/>
            <w:color w:val="0000EE"/>
          </w:rPr>
          <w:t>Schedule 14A, filed with the SEC on April 9, 2021</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 ended March 31, 2021, filed with the SEC on </w:t>
      </w:r>
      <w:hyperlink r:id="rId87">
        <w:r>
          <w:rPr>
            <w:rFonts w:ascii="Times New Roman" w:cs="Times New Roman" w:eastAsia="Times New Roman" w:hAnsi="Times New Roman"/>
            <w:sz w:val="18"/>
            <w:szCs w:val="18"/>
            <w:u w:val="single" w:color="auto"/>
            <w:color w:val="0000EE"/>
          </w:rPr>
          <w:t>May 11,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June 30, 2021, filed with the SEC on</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August 10,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quarter ended September 30, 2021, filed with the SEC on November 9, 2021;</w:t>
      </w:r>
    </w:p>
    <w:p>
      <w:pPr>
        <w:spacing w:after="0" w:line="67" w:lineRule="exact"/>
        <w:rPr>
          <w:rFonts w:ascii="Times New Roman" w:cs="Times New Roman" w:eastAsia="Times New Roman" w:hAnsi="Times New Roman"/>
          <w:sz w:val="18"/>
          <w:szCs w:val="18"/>
          <w:color w:val="0000EE"/>
        </w:rPr>
      </w:pPr>
    </w:p>
    <w:p>
      <w:pPr>
        <w:ind w:left="1800" w:right="1059" w:hanging="180"/>
        <w:spacing w:after="0" w:line="282" w:lineRule="auto"/>
        <w:tabs>
          <w:tab w:leader="none" w:pos="180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89">
        <w:r>
          <w:rPr>
            <w:rFonts w:ascii="Times New Roman" w:cs="Times New Roman" w:eastAsia="Times New Roman" w:hAnsi="Times New Roman"/>
            <w:sz w:val="18"/>
            <w:szCs w:val="18"/>
            <w:u w:val="single" w:color="auto"/>
            <w:color w:val="0000EE"/>
          </w:rPr>
          <w:t>February 19, 2021</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March 10, 2021</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March 15,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 xml:space="preserve">May 21, 2021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June 15,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40" w:lineRule="exact"/>
        <w:rPr>
          <w:rFonts w:ascii="Times New Roman" w:cs="Times New Roman" w:eastAsia="Times New Roman" w:hAnsi="Times New Roman"/>
          <w:sz w:val="18"/>
          <w:szCs w:val="18"/>
          <w:color w:val="0000EE"/>
        </w:rPr>
      </w:pPr>
    </w:p>
    <w:p>
      <w:pPr>
        <w:ind w:left="1800" w:right="539" w:hanging="180"/>
        <w:spacing w:after="0" w:line="266" w:lineRule="auto"/>
        <w:tabs>
          <w:tab w:leader="none" w:pos="1800" w:val="left"/>
        </w:tabs>
        <w:numPr>
          <w:ilvl w:val="0"/>
          <w:numId w:val="23"/>
        </w:numPr>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The description of our Common Stock contained in Exhibit 4.3 to our Annual Report on Form 10-K</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for the fiscal year ended December 31, 2020, filed with the SEC on March 25, 2021 and any</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amendment or report filed with the SEC for the purpose of updating the description.</w:t>
        </w:r>
      </w:hyperlink>
    </w:p>
    <w:p>
      <w:pPr>
        <w:spacing w:after="0" w:line="108" w:lineRule="exact"/>
        <w:rPr>
          <w:rFonts w:ascii="Times New Roman" w:cs="Times New Roman" w:eastAsia="Times New Roman" w:hAnsi="Times New Roman"/>
          <w:sz w:val="18"/>
          <w:szCs w:val="18"/>
          <w:u w:val="single" w:color="auto"/>
          <w:color w:val="0000EE"/>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82"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HARMONY BIOSCIENCES HOLDINGS,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630 W. GERMANTOWN PIKE, SUITE 215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PLYMOUTH MEETING, PA 19462</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(484) 539-9800</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48" w:lineRule="exact"/>
        <w:rPr>
          <w:sz w:val="20"/>
          <w:szCs w:val="20"/>
          <w:color w:val="auto"/>
        </w:rPr>
      </w:pPr>
    </w:p>
    <w:p>
      <w:pPr>
        <w:ind w:left="1260" w:right="719" w:firstLine="360"/>
        <w:spacing w:after="0" w:line="216" w:lineRule="auto"/>
        <w:rPr>
          <w:sz w:val="20"/>
          <w:szCs w:val="20"/>
          <w:color w:val="auto"/>
        </w:rPr>
      </w:pPr>
      <w:r>
        <w:rPr>
          <w:rFonts w:ascii="Times New Roman" w:cs="Times New Roman" w:eastAsia="Times New Roman" w:hAnsi="Times New Roman"/>
          <w:sz w:val="18"/>
          <w:szCs w:val="18"/>
          <w:color w:val="auto"/>
        </w:rPr>
        <w:t>We are a commercial-stage, rare disease pharmaceutical company focused on developing and commercializing innovative therapies for patients living with rare neurological diseases who have unmet medical needs. Our product, WAKIX (pitolisant), is a first-in-class molecule with a novel mechanism of action specifically designed to increase histamine signaling in the brain by binding to H</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receptors. In</w:t>
      </w:r>
    </w:p>
    <w:p>
      <w:pPr>
        <w:spacing w:after="0" w:line="2"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Drug Enforcement Administration.</w:t>
      </w:r>
    </w:p>
    <w:p>
      <w:pPr>
        <w:spacing w:after="0" w:line="268" w:lineRule="exact"/>
        <w:rPr>
          <w:sz w:val="20"/>
          <w:szCs w:val="20"/>
          <w:color w:val="auto"/>
        </w:rPr>
      </w:pPr>
    </w:p>
    <w:p>
      <w:pPr>
        <w:ind w:left="1260" w:right="559" w:firstLine="360"/>
        <w:spacing w:after="0" w:line="233" w:lineRule="auto"/>
        <w:rPr>
          <w:sz w:val="20"/>
          <w:szCs w:val="20"/>
          <w:color w:val="auto"/>
        </w:rPr>
      </w:pPr>
      <w:r>
        <w:rPr>
          <w:rFonts w:ascii="Times New Roman" w:cs="Times New Roman" w:eastAsia="Times New Roman" w:hAnsi="Times New Roman"/>
          <w:sz w:val="18"/>
          <w:szCs w:val="18"/>
          <w:color w:val="auto"/>
        </w:rPr>
        <w:t>We plan to pursue label expansion for WAKIX in narcolepsy in pediatric patients and engage with the FDA in pursuit of pediatric exclusivity. Our strategic partner, Bioprojet is evaluating pitolisant in pediatric patients with narcolepsy in a Phase 3 trial. Bioprojet amended the protocol and increased the number of patients in the trial which has pushed out the timeline for trial completion and read out of the data. We and Bioprojet have decided to wait for the read out of the data to inform how best to advance the pediatric narcolepsy program. We believe that our strategic decision to wait for this data before advancing the pediatric program is the most prudent and thoughtful path forward from a development and financial perspective. In the meantime, we are continuing to evaluate regulatory strategies with regard to obtaining pediatric exclusivity. We anticipate providing an update on the path forward in the coming months.</w:t>
      </w:r>
    </w:p>
    <w:p>
      <w:pPr>
        <w:spacing w:after="0" w:line="122" w:lineRule="exact"/>
        <w:rPr>
          <w:sz w:val="20"/>
          <w:szCs w:val="20"/>
          <w:color w:val="auto"/>
        </w:rPr>
      </w:pPr>
    </w:p>
    <w:p>
      <w:pPr>
        <w:ind w:left="1260" w:right="599" w:firstLine="360"/>
        <w:spacing w:after="0" w:line="201" w:lineRule="auto"/>
        <w:rPr>
          <w:sz w:val="20"/>
          <w:szCs w:val="20"/>
          <w:color w:val="auto"/>
        </w:rPr>
      </w:pPr>
      <w:r>
        <w:rPr>
          <w:rFonts w:ascii="Times New Roman" w:cs="Times New Roman" w:eastAsia="Times New Roman" w:hAnsi="Times New Roman"/>
          <w:sz w:val="18"/>
          <w:szCs w:val="18"/>
          <w:color w:val="auto"/>
        </w:rPr>
        <w:t>We believe that pitolisant’s ability to regulate histamine gives it the potential to provide therapeutic benefit in other rare neurological diseases that are mediated through H</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receptors and histamine signaling.</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Beyond narcolepsy, we are initially focusing on the treatment of EDS associated with Prader-Willi Syndrome (“PWS”) and myotonic dystrophy, otherwise known as dystrophia myotonica (“DM”). In December 2020, we initiated a Phase 2 clinical trial to evaluate pitolisant for the treatment of EDS and other key symptoms in patients with PWS and anticipate topline results from this trial in the first half of 2022. In June 2021, we initiated a Phase 2 clinical trial to evaluate pitolisant for the treatment of EDS, fatigue and cognitive dysfunction in adult patients with DM1 and anticipate topline results in the second half of 2022. In addition to these indications, we intend to further explore pitolisant in other rare neurological diseases in which EDS, fatigue and/or cognitive impairment are prominent symptoms with significant impact on daily functioning.</w:t>
      </w:r>
    </w:p>
    <w:p>
      <w:pPr>
        <w:spacing w:after="0" w:line="255"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also seek to expand our pipeline through the acquisition of additional assets that focus on addressing the unmet needs of patients with rare neurological diseases and are targeting assets that will allow us to further leverage the expertise and infrastructure that we have successfully built at Harmony so we can optimize the benefit of internal synergies.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are currently assessing potential clinical targets for HBS-102 which will inform our development strategy going forward.</w:t>
      </w:r>
    </w:p>
    <w:p>
      <w:pPr>
        <w:spacing w:after="0" w:line="21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Pitolisant was developed by Bioprojet and approved by the European Medicines Agency in 2016 for the treatment of narcolepsy in adult patients with or without cataplexy. We acquired an exclusive license to develop, manufacture and commercialize pitolisant in the United States pursuant to our license agreement with Bioprojet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3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Emerging Growth Company Status; Smaller Reporting Company Status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June 30, 2021, we no longer qualify as an emerging growth company or smaller reporting</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as defined in the Securities Exchange Act of 1934, as amended. We have historically taken, and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may continue through the filing of our Annual Report on Form 10-K for the year ending December 31, 2021 to take, advantage of certain scaled disclosures available to emerging growth companies and smaller reporting companies.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common stock is listed on the Nasdaq Global Market under the symbol “HRMY.” Our offices are located at 630 W. Germantown Pike, Suite 215, Plymouth Meeting, PA 19462. Our website address is www.harmonybiosciences.com. The information on, or that may be accessed through, our website is not a part of this prospectus or any accompanying prospectus supplement. We have included our website address in this prospectus supplement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11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510,000,000 shares, all with a par value of $0.00001 per share, of which:</w:t>
      </w:r>
    </w:p>
    <w:p>
      <w:pPr>
        <w:spacing w:after="0" w:line="54"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common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9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after the payment of all of our debts and other liabilities, subject to the prior rights of any preferred stock then outstanding.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3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Second Amended and Restated Investors’ Rights Agreement, dated August 9, 2021 (the “Investors’ Rights Agreement”), provides that certain holders of our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stock transfer taxes, and fees and disbursements of counsel for any holder, except for the fees and disbursements of the selling holder counsel, of the shares registered by the demand, piggyback and Form S-3 registrations described below.</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on August 20, 2025, or with respect to any particular stockholder, such time after the closing of this offering that such stockholder can sell all of its shares entitled to registration rights under Rule 144 of the Securities Act during any 90-day period.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At any time after February 16, 2021, the holders of more than 50% of the Registrable Securities then outstanding may request that we register all or a portion of their shares on a Form S-1 registration statement; provided, that we are obligated to effect only five such registrations. Upon receipt of a request to file a Form S-1 registration statement, we must notify all other holders of our common stock converted from our convertible preferred stock and, within 60 days, file a Form S-1 registration statement under the Securities Act. We are not obligated to take any action to effect any registration during the period that is</w:t>
      </w:r>
    </w:p>
    <w:p>
      <w:pPr>
        <w:spacing w:after="0" w:line="5"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60 days before our good faith estimate of the date of filing of, and ending on a date that is 180 days after the effective date of, a registration statement initiated by us. Additionally, if our board of directors determines that it would be materially detrimental to us and our stockholders to effect such a registration, we have the right to defer such registration, not more than twice in any 12-month period, for a period of not more than 120 days.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(as defined in the Investors’ Rights Agreement) in such registration, subject to certain marketing and other limitations. If a stockholder decides not to include all of its shares in any registration statement filed by us, it shall nevertheless continue to have the right to include its Registrable Securities in any subsequent registration statement or registration statements as we may file with respect to offerings of our securities. We have the right to terminate or withdraw any registration initiated whether or not any holder has elected to include securities in such registration upon prompt notice to such holder or holders.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holders of the Registrable Securities are entitled to certain Form S-3 registration rights. One or more holders of these shares may make a written request that we register the offer and sale of their shares on a registration statement on Form S-3 if we are eligible to file a registration statement on Form S-3. Upon receipt of a request to file a Form S-3 registration statement, we must notify all other holders of Registrable Securities and, within 45 days, file a Form S-3 registration statement under the Securities Act. We are not obligated to take any action to effect any registration during the period that is 30 days before our good faith estimate of the date of filing of, and ending on a date that is 90 days after the effective date of, a registration statement initiated by us. Additionally, if our board of directors determines that it would be seriously detrimental to us and our stockholders to effect such a registration, we have the right to defer such registration, not more than twice in any 12-month period, for a period of up to 120 days.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currently intend to retain all available funds and any future earnings, if any, for the operation and expansion of our business and, therefore, we do not anticipate declaring or paying cash dividends in the foreseeable future. The payment of dividends, if any,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4" w:lineRule="auto"/>
        <w:rPr>
          <w:sz w:val="20"/>
          <w:szCs w:val="20"/>
          <w:color w:val="auto"/>
        </w:rPr>
      </w:pPr>
      <w:r>
        <w:rPr>
          <w:rFonts w:ascii="Times New Roman" w:cs="Times New Roman" w:eastAsia="Times New Roman" w:hAnsi="Times New Roman"/>
          <w:sz w:val="18"/>
          <w:szCs w:val="18"/>
          <w:color w:val="auto"/>
        </w:rPr>
        <w:t>relevant. Our ability to pay cash dividends on our capital stock in the future may also be limited by the terms of any preferred securities we may issue or agreements governing any additional indebtedness we may incur.</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listing standards of The Nasdaq Stock Market LLC.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divided into three classes, with the classes as nearly equal in number as possible and each class serving three-year staggered terms. In all other cases and at any other time,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are not able to take action by written consent for any matter and may only take action at annual or special meetings. As a result, a holder controlling a majority of our capital stock is not able to amend our amended and restated bylaws or remove directors without holding a meeting of our stockholders called in accordance with our amended and restated bylaws, unless previously approved by our board of directors. Our amended and restated certificate of incorporation further provides that special meetings of our stockholders may be called only by the chairman of our board of directors, our chief executive officer, our president or another officer selected by a majority of our board of directors,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establish an advance notice procedure for stockholder proposals to be brought before an annual meeting of stockholders, including proposed nominations of candidates for election to our board of directors. In order for any matter to be “properly brought” before a meeting, a</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or Bylaws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consummation of this offering, our amended and restated bylaws may be amended or repealed by a majority vote of our board of directors or by the affirmative vote of the holders a majority of the votes which all our stockholders would be eligible to cast in an election of directors.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(i) any derivative action or proceeding brought on our behalf; (ii) any action asserting a claim of breach of fiduciary duty owed by any of our directors, officers or stockholders to us or to our stockholders; (iii) any action asserting a claim against us arising pursuant to the DGCL, our amended and restated certificate of incorporation or our amended and restated bylaws (as either may be amended from time to time); and (iv)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precludes stockholders that assert claims under the Exchange Act from bringing such claims in state or federal court, subject to applicable law.</w:t>
      </w: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2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of Charter Provisions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 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“Harmony,” “we,” “our” or “us” refer to Harmony Biosciences Holdings, Inc. excluding our subsidiaries, unless expressly stated or the context otherwise requires.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1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04"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0" w:lineRule="exact"/>
        <w:rPr>
          <w:sz w:val="20"/>
          <w:szCs w:val="20"/>
          <w:color w:val="auto"/>
        </w:rPr>
      </w:pPr>
    </w:p>
    <w:p>
      <w:pPr>
        <w:jc w:val="both"/>
        <w:ind w:left="1260" w:right="7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will be deposited with, or on behalf of, the Depositary, and registered in the name of the Depositary or a nominee of the Depositary. Please see “Global Securities.”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ind w:left="1800" w:right="73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Harmony)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Harmony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Harmony;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0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1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6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4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81"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2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54" w:lineRule="exact"/>
        <w:rPr>
          <w:sz w:val="20"/>
          <w:szCs w:val="20"/>
          <w:color w:val="auto"/>
        </w:rPr>
      </w:pPr>
    </w:p>
    <w:p>
      <w:pPr>
        <w:ind w:left="1800" w:right="5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17"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meeting of shareholders for the election of our directors or any other matter;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Harmony.</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2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61" w:lineRule="auto"/>
        <w:rPr>
          <w:sz w:val="20"/>
          <w:szCs w:val="20"/>
          <w:color w:val="auto"/>
        </w:rPr>
      </w:pPr>
      <w:r>
        <w:rPr>
          <w:rFonts w:ascii="Times New Roman" w:cs="Times New Roman" w:eastAsia="Times New Roman" w:hAnsi="Times New Roman"/>
          <w:sz w:val="18"/>
          <w:szCs w:val="18"/>
          <w:color w:val="auto"/>
        </w:rPr>
        <w:t>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69"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69" w:lineRule="exact"/>
        <w:rPr>
          <w:sz w:val="20"/>
          <w:szCs w:val="20"/>
          <w:color w:val="auto"/>
        </w:rPr>
      </w:pPr>
    </w:p>
    <w:p>
      <w:pPr>
        <w:ind w:left="1800" w:right="4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any other securities exchange or quotation or trading service on which such securities may be listed, quoted or traded at the time of sale; and/or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on Nasdaq or such other securities exchanges or quotation or trading services.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15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9"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0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9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2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66" w:lineRule="auto"/>
        <w:rPr>
          <w:sz w:val="20"/>
          <w:szCs w:val="20"/>
          <w:color w:val="auto"/>
        </w:rPr>
      </w:pPr>
      <w:r>
        <w:rPr>
          <w:rFonts w:ascii="Times New Roman" w:cs="Times New Roman" w:eastAsia="Times New Roman" w:hAnsi="Times New Roman"/>
          <w:sz w:val="18"/>
          <w:szCs w:val="18"/>
          <w:color w:val="auto"/>
        </w:rPr>
        <w:t>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08"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9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Harmony Biosciences Holdings, Inc. Additional legal matters may be passed upon for us or any underwriters, dealers or agents, by counsel that we will name in the applicable prospectus supplement.</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Harmony Biosciences Holdings, Inc. and Subsidiary incorporated by reference in this registration statement have been audited by Deloitte &amp; Touche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62230</wp:posOffset>
            </wp:positionV>
            <wp:extent cx="5212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0"/>
        <w:spacing w:after="0"/>
        <w:rPr>
          <w:sz w:val="20"/>
          <w:szCs w:val="20"/>
          <w:color w:val="auto"/>
        </w:rPr>
      </w:pPr>
      <w:r>
        <w:rPr>
          <w:rFonts w:ascii="Arial" w:cs="Arial" w:eastAsia="Arial" w:hAnsi="Arial"/>
          <w:sz w:val="32"/>
          <w:szCs w:val="32"/>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188595</wp:posOffset>
            </wp:positionV>
            <wp:extent cx="1723390" cy="11741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172339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829945</wp:posOffset>
            </wp:positionV>
            <wp:extent cx="19202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2819"/>
        <w:spacing w:after="0"/>
        <w:rPr>
          <w:sz w:val="20"/>
          <w:szCs w:val="20"/>
          <w:color w:val="auto"/>
        </w:rPr>
      </w:pPr>
      <w:r>
        <w:rPr>
          <w:rFonts w:ascii="Arial" w:cs="Arial" w:eastAsia="Arial" w:hAnsi="Arial"/>
          <w:sz w:val="29"/>
          <w:szCs w:val="2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264160</wp:posOffset>
            </wp:positionV>
            <wp:extent cx="1920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426085</wp:posOffset>
            </wp:positionV>
            <wp:extent cx="19202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40"/>
        <w:spacing w:after="0"/>
        <w:rPr>
          <w:sz w:val="20"/>
          <w:szCs w:val="20"/>
          <w:color w:val="auto"/>
        </w:rPr>
      </w:pPr>
      <w:r>
        <w:rPr>
          <w:rFonts w:ascii="Arial" w:cs="Arial" w:eastAsia="Arial" w:hAnsi="Arial"/>
          <w:sz w:val="20"/>
          <w:szCs w:val="20"/>
          <w:i w:val="1"/>
          <w:iCs w:val="1"/>
          <w:color w:val="auto"/>
        </w:rPr>
        <w:t>Sole Book-Running Manager</w:t>
      </w: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332740</wp:posOffset>
            </wp:positionV>
            <wp:extent cx="1920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1052830</wp:posOffset>
            </wp:positionV>
            <wp:extent cx="5212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1)"/>
      <w:numFmt w:val="lowerRoman"/>
      <w:start w:val="5"/>
    </w:lvl>
  </w:abstractNum>
  <w:abstractNum w:abstractNumId="10">
    <w:nsid w:val="189A769B"/>
    <w:multiLevelType w:val="hybridMultilevel"/>
    <w:lvl w:ilvl="0">
      <w:lvlJc w:val="left"/>
      <w:lvlText w:val="(%1)"/>
      <w:numFmt w:val="lowerRoman"/>
      <w:start w:val="9"/>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Roman"/>
      <w:start w:val="2"/>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2"/>
    </w:lvl>
  </w:abstractNum>
  <w:abstractNum w:abstractNumId="16">
    <w:nsid w:val="3A95F874"/>
    <w:multiLevelType w:val="hybridMultilevel"/>
    <w:lvl w:ilvl="0">
      <w:lvlJc w:val="left"/>
      <w:lvlText w:val="(%1)"/>
      <w:numFmt w:val="lowerLetter"/>
      <w:start w:val="1"/>
    </w:lvl>
    <w:lvl w:ilvl="1">
      <w:lvlJc w:val="left"/>
      <w:lvlText w:val="(%2)"/>
      <w:numFmt w:val="lowerRoman"/>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4"/>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jpe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jpe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63" Type="http://schemas.openxmlformats.org/officeDocument/2006/relationships/hyperlink" Target="http://www.sec.gov/Archives/edgar/data/1802665/000155837024002037/0001558370-24-002037-index.htm" TargetMode="External"/><Relationship Id="rId64" Type="http://schemas.openxmlformats.org/officeDocument/2006/relationships/hyperlink" Target="http://www.sec.gov/ix?doc=/Archives/edgar/data/1802665/000114036124019230/ny20020531x1_def14a.htm" TargetMode="External"/><Relationship Id="rId65" Type="http://schemas.openxmlformats.org/officeDocument/2006/relationships/hyperlink" Target="https://www.sec.gov/ix?doc=/Archives/edgar/data/1802665/000155837024013803/hrmy-20240930x10q.htm" TargetMode="External"/><Relationship Id="rId66" Type="http://schemas.openxmlformats.org/officeDocument/2006/relationships/hyperlink" Target="http://www.sec.gov/ix?doc=/Archives/edgar/data/1802665/000155837024004945/hrmy-20240406x8k.htm" TargetMode="External"/><Relationship Id="rId67" Type="http://schemas.openxmlformats.org/officeDocument/2006/relationships/hyperlink" Target="http://www.sec.gov/ix?doc=/Archives/edgar/data/1802665/000155837024006594/hrmy-20240501x8k.htm" TargetMode="External"/><Relationship Id="rId68" Type="http://schemas.openxmlformats.org/officeDocument/2006/relationships/hyperlink" Target="http://www.sec.gov/ix?doc=/Archives/edgar/data/1802665/000155837024008734/hrmy-20240529x8k.htm" TargetMode="External"/><Relationship Id="rId69" Type="http://schemas.openxmlformats.org/officeDocument/2006/relationships/hyperlink" Target="http://www.sec.gov/ix?doc=/Archives/edgar/data/1802665/000155837024009642/hrmy-20240627x8k.htm" TargetMode="External"/><Relationship Id="rId70" Type="http://schemas.openxmlformats.org/officeDocument/2006/relationships/hyperlink" Target="http://www.sec.gov/Archives/edgar/data/1802665/000156459021015274/hrmy-ex43_1166.htm" TargetMode="External"/><Relationship Id="rId85" Type="http://schemas.openxmlformats.org/officeDocument/2006/relationships/hyperlink" Target="https://www.sec.gov/Archives/edgar/data/1802665/000156459021015274/hrmy-10k_20201231.htm" TargetMode="External"/><Relationship Id="rId86" Type="http://schemas.openxmlformats.org/officeDocument/2006/relationships/hyperlink" Target="https://www.sec.gov/Archives/edgar/data/1802665/000114036121012212/nc10018979x2_defa14a.htm" TargetMode="External"/><Relationship Id="rId87" Type="http://schemas.openxmlformats.org/officeDocument/2006/relationships/hyperlink" Target="https://www.sec.gov/Archives/edgar/data/1802665/000156459021026306/hrmy-10q_20210331.htm" TargetMode="External"/><Relationship Id="rId88" Type="http://schemas.openxmlformats.org/officeDocument/2006/relationships/hyperlink" Target="https://www.sec.gov/ix?doc=/Archives/edgar/data/1802665/000156459021042897/hrmy-10q_20210630.htm" TargetMode="External"/><Relationship Id="rId89" Type="http://schemas.openxmlformats.org/officeDocument/2006/relationships/hyperlink" Target="https://www.sec.gov/Archives/edgar/data/1802665/000119312521048261/d145308d8k.htm" TargetMode="External"/><Relationship Id="rId90" Type="http://schemas.openxmlformats.org/officeDocument/2006/relationships/hyperlink" Target="https://www.sec.gov/Archives/edgar/data/1802665/000119312521076202/d141546d8k.htm" TargetMode="External"/><Relationship Id="rId91" Type="http://schemas.openxmlformats.org/officeDocument/2006/relationships/hyperlink" Target="https://www.sec.gov/Archives/edgar/data/1802665/000119312521080566/d138171d8k.htm" TargetMode="External"/><Relationship Id="rId92" Type="http://schemas.openxmlformats.org/officeDocument/2006/relationships/hyperlink" Target="https://www.sec.gov/Archives/edgar/data/1802665/000119312521169414/d179055d8k.htm" TargetMode="External"/><Relationship Id="rId93" Type="http://schemas.openxmlformats.org/officeDocument/2006/relationships/hyperlink" Target="https://www.sec.gov/Archives/edgar/data/1802665/000119312521191261/d169736d8k.htm" TargetMode="External"/><Relationship Id="rId94" Type="http://schemas.openxmlformats.org/officeDocument/2006/relationships/hyperlink" Target="https://www.sec.gov/Archives/edgar/data/1802665/000156459021015274/hrmy-ex43_11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2024-10-29T16:42:27Z</dcterms:created>
  <dcterms:modified xsi:type="dcterms:W3CDTF">2024-10-29T16:42:27Z</dcterms:modified>
</cp:coreProperties>
</file>