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-186690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126365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155575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HARMONY BIOSCIENCES HOLDINGS, INC</w:t>
      </w:r>
      <w:r>
        <w:rPr>
          <w:rFonts w:ascii="Arial" w:cs="Arial" w:eastAsia="Arial" w:hAnsi="Arial"/>
          <w:sz w:val="37"/>
          <w:szCs w:val="37"/>
          <w:b w:val="1"/>
          <w:bCs w:val="1"/>
          <w:color w:val="auto"/>
        </w:rPr>
        <w: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143510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1920" w:type="dxa"/>
            <w:vAlign w:val="bottom"/>
          </w:tcPr>
          <w:p>
            <w:pPr>
              <w:jc w:val="center"/>
              <w:ind w:right="42"/>
              <w:spacing w:after="0"/>
              <w:rPr>
                <w:sz w:val="20"/>
                <w:szCs w:val="20"/>
                <w:color w:val="auto"/>
              </w:rPr>
            </w:pPr>
            <w:r>
              <w:rPr>
                <w:rFonts w:ascii="Arial" w:cs="Arial" w:eastAsia="Arial" w:hAnsi="Arial"/>
                <w:sz w:val="18"/>
                <w:szCs w:val="18"/>
                <w:b w:val="1"/>
                <w:bCs w:val="1"/>
                <w:color w:val="auto"/>
              </w:rPr>
              <w:t>Delaware</w:t>
            </w:r>
          </w:p>
        </w:tc>
        <w:tc>
          <w:tcPr>
            <w:tcW w:w="3480" w:type="dxa"/>
            <w:vAlign w:val="bottom"/>
            <w:gridSpan w:val="2"/>
          </w:tcPr>
          <w:p>
            <w:pPr>
              <w:jc w:val="center"/>
              <w:ind w:left="902"/>
              <w:spacing w:after="0"/>
              <w:rPr>
                <w:sz w:val="20"/>
                <w:szCs w:val="20"/>
                <w:color w:val="auto"/>
              </w:rPr>
            </w:pPr>
            <w:r>
              <w:rPr>
                <w:rFonts w:ascii="Arial" w:cs="Arial" w:eastAsia="Arial" w:hAnsi="Arial"/>
                <w:sz w:val="18"/>
                <w:szCs w:val="18"/>
                <w:b w:val="1"/>
                <w:bCs w:val="1"/>
                <w:color w:val="auto"/>
                <w:w w:val="99"/>
              </w:rPr>
              <w:t>001-39450</w:t>
            </w:r>
          </w:p>
        </w:tc>
        <w:tc>
          <w:tcPr>
            <w:tcW w:w="1180" w:type="dxa"/>
            <w:vAlign w:val="bottom"/>
          </w:tcPr>
          <w:p>
            <w:pPr>
              <w:spacing w:after="0"/>
              <w:rPr>
                <w:sz w:val="18"/>
                <w:szCs w:val="18"/>
                <w:color w:val="auto"/>
              </w:rPr>
            </w:pPr>
          </w:p>
        </w:tc>
        <w:tc>
          <w:tcPr>
            <w:tcW w:w="1500" w:type="dxa"/>
            <w:vAlign w:val="bottom"/>
          </w:tcPr>
          <w:p>
            <w:pPr>
              <w:jc w:val="center"/>
              <w:ind w:left="182"/>
              <w:spacing w:after="0"/>
              <w:rPr>
                <w:sz w:val="20"/>
                <w:szCs w:val="20"/>
                <w:color w:val="auto"/>
              </w:rPr>
            </w:pPr>
            <w:r>
              <w:rPr>
                <w:rFonts w:ascii="Arial" w:cs="Arial" w:eastAsia="Arial" w:hAnsi="Arial"/>
                <w:sz w:val="18"/>
                <w:szCs w:val="18"/>
                <w:b w:val="1"/>
                <w:bCs w:val="1"/>
                <w:color w:val="auto"/>
                <w:w w:val="99"/>
              </w:rPr>
              <w:t>82-2279923</w:t>
            </w:r>
          </w:p>
        </w:tc>
      </w:tr>
      <w:tr>
        <w:trPr>
          <w:trHeight w:val="162"/>
        </w:trPr>
        <w:tc>
          <w:tcPr>
            <w:tcW w:w="1920" w:type="dxa"/>
            <w:vAlign w:val="bottom"/>
          </w:tcPr>
          <w:p>
            <w:pPr>
              <w:jc w:val="center"/>
              <w:ind w:right="42"/>
              <w:spacing w:after="0"/>
              <w:rPr>
                <w:sz w:val="20"/>
                <w:szCs w:val="20"/>
                <w:color w:val="auto"/>
              </w:rPr>
            </w:pPr>
            <w:r>
              <w:rPr>
                <w:rFonts w:ascii="Arial" w:cs="Arial" w:eastAsia="Arial" w:hAnsi="Arial"/>
                <w:sz w:val="14"/>
                <w:szCs w:val="14"/>
                <w:b w:val="1"/>
                <w:bCs w:val="1"/>
                <w:color w:val="auto"/>
              </w:rPr>
              <w:t>(State or other jurisdiction</w:t>
            </w:r>
          </w:p>
        </w:tc>
        <w:tc>
          <w:tcPr>
            <w:tcW w:w="1000" w:type="dxa"/>
            <w:vAlign w:val="bottom"/>
          </w:tcPr>
          <w:p>
            <w:pPr>
              <w:spacing w:after="0"/>
              <w:rPr>
                <w:sz w:val="14"/>
                <w:szCs w:val="14"/>
                <w:color w:val="auto"/>
              </w:rPr>
            </w:pPr>
          </w:p>
        </w:tc>
        <w:tc>
          <w:tcPr>
            <w:tcW w:w="36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20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1920" w:type="dxa"/>
            <w:vAlign w:val="bottom"/>
          </w:tcPr>
          <w:p>
            <w:pPr>
              <w:jc w:val="center"/>
              <w:ind w:right="42"/>
              <w:spacing w:after="0"/>
              <w:rPr>
                <w:sz w:val="20"/>
                <w:szCs w:val="20"/>
                <w:color w:val="auto"/>
              </w:rPr>
            </w:pPr>
            <w:r>
              <w:rPr>
                <w:rFonts w:ascii="Arial" w:cs="Arial" w:eastAsia="Arial" w:hAnsi="Arial"/>
                <w:sz w:val="14"/>
                <w:szCs w:val="14"/>
                <w:b w:val="1"/>
                <w:bCs w:val="1"/>
                <w:color w:val="auto"/>
              </w:rPr>
              <w:t>of incorporation)</w:t>
            </w:r>
          </w:p>
        </w:tc>
        <w:tc>
          <w:tcPr>
            <w:tcW w:w="1000" w:type="dxa"/>
            <w:vAlign w:val="bottom"/>
          </w:tcPr>
          <w:p>
            <w:pPr>
              <w:spacing w:after="0"/>
              <w:rPr>
                <w:sz w:val="17"/>
                <w:szCs w:val="17"/>
                <w:color w:val="auto"/>
              </w:rPr>
            </w:pPr>
          </w:p>
        </w:tc>
        <w:tc>
          <w:tcPr>
            <w:tcW w:w="36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202"/>
              <w:spacing w:after="0"/>
              <w:rPr>
                <w:sz w:val="20"/>
                <w:szCs w:val="20"/>
                <w:color w:val="auto"/>
              </w:rPr>
            </w:pPr>
            <w:r>
              <w:rPr>
                <w:rFonts w:ascii="Arial" w:cs="Arial" w:eastAsia="Arial" w:hAnsi="Arial"/>
                <w:sz w:val="14"/>
                <w:szCs w:val="14"/>
                <w:b w:val="1"/>
                <w:bCs w:val="1"/>
                <w:color w:val="auto"/>
              </w:rPr>
              <w:t>Identification No.)</w:t>
            </w:r>
          </w:p>
        </w:tc>
      </w:tr>
      <w:tr>
        <w:trPr>
          <w:trHeight w:val="361"/>
        </w:trPr>
        <w:tc>
          <w:tcPr>
            <w:tcW w:w="1920" w:type="dxa"/>
            <w:vAlign w:val="bottom"/>
          </w:tcPr>
          <w:p>
            <w:pPr>
              <w:spacing w:after="0"/>
              <w:rPr>
                <w:sz w:val="24"/>
                <w:szCs w:val="24"/>
                <w:color w:val="auto"/>
              </w:rPr>
            </w:pPr>
          </w:p>
        </w:tc>
        <w:tc>
          <w:tcPr>
            <w:tcW w:w="4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630 W. Germantown Pike, Suite 215</w:t>
            </w:r>
          </w:p>
        </w:tc>
        <w:tc>
          <w:tcPr>
            <w:tcW w:w="15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9"/>
              </w:rPr>
              <w:t>Plymouth Meeting, PA 19462</w:t>
            </w:r>
          </w:p>
        </w:tc>
        <w:tc>
          <w:tcPr>
            <w:tcW w:w="1500" w:type="dxa"/>
            <w:vAlign w:val="bottom"/>
          </w:tcPr>
          <w:p>
            <w:pPr>
              <w:spacing w:after="0"/>
              <w:rPr>
                <w:sz w:val="18"/>
                <w:szCs w:val="18"/>
                <w:color w:val="auto"/>
              </w:rPr>
            </w:pPr>
          </w:p>
        </w:tc>
      </w:tr>
      <w:tr>
        <w:trPr>
          <w:trHeight w:val="196"/>
        </w:trPr>
        <w:tc>
          <w:tcPr>
            <w:tcW w:w="1920" w:type="dxa"/>
            <w:vAlign w:val="bottom"/>
          </w:tcPr>
          <w:p>
            <w:pPr>
              <w:spacing w:after="0"/>
              <w:rPr>
                <w:sz w:val="17"/>
                <w:szCs w:val="17"/>
                <w:color w:val="auto"/>
              </w:rPr>
            </w:pPr>
          </w:p>
        </w:tc>
        <w:tc>
          <w:tcPr>
            <w:tcW w:w="4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500" w:type="dxa"/>
            <w:vAlign w:val="bottom"/>
          </w:tcPr>
          <w:p>
            <w:pPr>
              <w:spacing w:after="0"/>
              <w:rPr>
                <w:sz w:val="17"/>
                <w:szCs w:val="17"/>
                <w:color w:val="auto"/>
              </w:rPr>
            </w:pPr>
          </w:p>
        </w:tc>
      </w:tr>
      <w:tr>
        <w:trPr>
          <w:trHeight w:val="344"/>
        </w:trPr>
        <w:tc>
          <w:tcPr>
            <w:tcW w:w="1920" w:type="dxa"/>
            <w:vAlign w:val="bottom"/>
          </w:tcPr>
          <w:p>
            <w:pPr>
              <w:spacing w:after="0"/>
              <w:rPr>
                <w:sz w:val="24"/>
                <w:szCs w:val="24"/>
                <w:color w:val="auto"/>
              </w:rPr>
            </w:pPr>
          </w:p>
        </w:tc>
        <w:tc>
          <w:tcPr>
            <w:tcW w:w="3480" w:type="dxa"/>
            <w:vAlign w:val="bottom"/>
            <w:gridSpan w:val="2"/>
          </w:tcPr>
          <w:p>
            <w:pPr>
              <w:jc w:val="center"/>
              <w:ind w:left="942"/>
              <w:spacing w:after="0"/>
              <w:rPr>
                <w:sz w:val="20"/>
                <w:szCs w:val="20"/>
                <w:color w:val="auto"/>
              </w:rPr>
            </w:pPr>
            <w:r>
              <w:rPr>
                <w:rFonts w:ascii="Arial" w:cs="Arial" w:eastAsia="Arial" w:hAnsi="Arial"/>
                <w:sz w:val="14"/>
                <w:szCs w:val="14"/>
                <w:b w:val="1"/>
                <w:bCs w:val="1"/>
                <w:color w:val="auto"/>
              </w:rPr>
              <w:t>(484) 539-9800</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4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500" w:type="dxa"/>
            <w:vAlign w:val="bottom"/>
          </w:tcPr>
          <w:p>
            <w:pPr>
              <w:spacing w:after="0"/>
              <w:rPr>
                <w:sz w:val="17"/>
                <w:szCs w:val="17"/>
                <w:color w:val="auto"/>
              </w:rPr>
            </w:pPr>
          </w:p>
        </w:tc>
      </w:tr>
      <w:tr>
        <w:trPr>
          <w:trHeight w:val="384"/>
        </w:trPr>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6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rPr>
              <w:t>N/A</w:t>
            </w:r>
          </w:p>
        </w:tc>
        <w:tc>
          <w:tcPr>
            <w:tcW w:w="150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46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500" w:type="dxa"/>
            <w:vAlign w:val="bottom"/>
          </w:tcPr>
          <w:p>
            <w:pPr>
              <w:spacing w:after="0"/>
              <w:rPr>
                <w:sz w:val="17"/>
                <w:szCs w:val="17"/>
                <w:color w:val="auto"/>
              </w:rPr>
            </w:pPr>
          </w:p>
        </w:tc>
      </w:tr>
      <w:tr>
        <w:trPr>
          <w:trHeight w:val="191"/>
        </w:trPr>
        <w:tc>
          <w:tcPr>
            <w:tcW w:w="1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292"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40" w:hanging="332"/>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09" w:lineRule="exact"/>
        <w:rPr>
          <w:rFonts w:ascii="MS PGothic" w:cs="MS PGothic" w:eastAsia="MS PGothic" w:hAnsi="MS PGothic"/>
          <w:sz w:val="14"/>
          <w:szCs w:val="14"/>
          <w:color w:val="auto"/>
        </w:rPr>
      </w:pPr>
    </w:p>
    <w:p>
      <w:pPr>
        <w:ind w:left="29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62"/>
        </w:trPr>
        <w:tc>
          <w:tcPr>
            <w:tcW w:w="312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900" w:type="dxa"/>
            <w:vAlign w:val="bottom"/>
          </w:tcPr>
          <w:p>
            <w:pPr>
              <w:spacing w:after="0"/>
              <w:rPr>
                <w:sz w:val="14"/>
                <w:szCs w:val="14"/>
                <w:color w:val="auto"/>
              </w:rPr>
            </w:pP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180" w:type="dxa"/>
            <w:vAlign w:val="bottom"/>
          </w:tcPr>
          <w:p>
            <w:pPr>
              <w:spacing w:after="0"/>
              <w:rPr>
                <w:sz w:val="14"/>
                <w:szCs w:val="14"/>
                <w:color w:val="auto"/>
              </w:rPr>
            </w:pPr>
          </w:p>
        </w:tc>
      </w:tr>
      <w:tr>
        <w:trPr>
          <w:trHeight w:val="171"/>
        </w:trPr>
        <w:tc>
          <w:tcPr>
            <w:tcW w:w="34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Title of each class</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rPr>
              <w:t>Symbol(s)</w:t>
            </w:r>
          </w:p>
        </w:tc>
        <w:tc>
          <w:tcPr>
            <w:tcW w:w="36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68"/>
        </w:trPr>
        <w:tc>
          <w:tcPr>
            <w:tcW w:w="31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 $0.00001 par value</w:t>
            </w:r>
          </w:p>
        </w:tc>
        <w:tc>
          <w:tcPr>
            <w:tcW w:w="360" w:type="dxa"/>
            <w:vAlign w:val="bottom"/>
          </w:tcPr>
          <w:p>
            <w:pPr>
              <w:spacing w:after="0"/>
              <w:rPr>
                <w:sz w:val="14"/>
                <w:szCs w:val="14"/>
                <w:color w:val="auto"/>
              </w:rPr>
            </w:pPr>
          </w:p>
        </w:tc>
        <w:tc>
          <w:tcPr>
            <w:tcW w:w="29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97"/>
              </w:rPr>
              <w:t>HRMY</w:t>
            </w:r>
          </w:p>
        </w:tc>
        <w:tc>
          <w:tcPr>
            <w:tcW w:w="360" w:type="dxa"/>
            <w:vAlign w:val="bottom"/>
          </w:tcPr>
          <w:p>
            <w:pPr>
              <w:spacing w:after="0"/>
              <w:rPr>
                <w:sz w:val="14"/>
                <w:szCs w:val="14"/>
                <w:color w:val="auto"/>
              </w:rPr>
            </w:pPr>
          </w:p>
        </w:tc>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Market</w:t>
            </w:r>
          </w:p>
        </w:tc>
      </w:tr>
      <w:tr>
        <w:trPr>
          <w:trHeight w:val="223"/>
        </w:trPr>
        <w:tc>
          <w:tcPr>
            <w:tcW w:w="3480" w:type="dxa"/>
            <w:vAlign w:val="bottom"/>
            <w:gridSpan w:val="2"/>
          </w:tcPr>
          <w:p>
            <w:pPr>
              <w:jc w:val="center"/>
              <w:ind w:right="268"/>
              <w:spacing w:after="0"/>
              <w:rPr>
                <w:sz w:val="20"/>
                <w:szCs w:val="20"/>
                <w:color w:val="auto"/>
              </w:rPr>
            </w:pPr>
            <w:r>
              <w:rPr>
                <w:rFonts w:ascii="Arial" w:cs="Arial" w:eastAsia="Arial" w:hAnsi="Arial"/>
                <w:sz w:val="16"/>
                <w:szCs w:val="16"/>
                <w:b w:val="1"/>
                <w:bCs w:val="1"/>
                <w:color w:val="auto"/>
              </w:rPr>
              <w:t>per share</w:t>
            </w: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pacing w:after="0" w:line="169" w:lineRule="exact"/>
        <w:rPr>
          <w:sz w:val="24"/>
          <w:szCs w:val="24"/>
          <w:color w:val="auto"/>
        </w:rPr>
      </w:pPr>
    </w:p>
    <w:p>
      <w:pPr>
        <w:jc w:val="both"/>
        <w:ind w:right="58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ind w:left="20" w:right="6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464185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52705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731"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9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On May 14, 2026, Harmony Biosciences Holdings, Inc. (the “Company”) held its 2026 Annual Meeting of Stockholders (the “Annual Meeting”). A total of 50,381,309 shares of the Company’s common stock were represented in person or by proxy, constituting a quorum. At the Annual Meeting, stockholders voted on the following three proposals, each of which is described in detail in the Company’s definitive proxy statement filed with the Securities and Exchange Commission (the “SEC”) on April 3, 2026.</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Proposal 1. The election of four Class III directors listed below to serve until the Company’s 2029 Annual Meeting of Stockholders and until their successors are duly elected and qualified.</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06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Votes For</w:t>
            </w:r>
          </w:p>
        </w:tc>
        <w:tc>
          <w:tcPr>
            <w:tcW w:w="2240" w:type="dxa"/>
            <w:vAlign w:val="bottom"/>
            <w:tcBorders>
              <w:top w:val="single" w:sz="8" w:color="auto"/>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Withheld</w:t>
            </w:r>
          </w:p>
        </w:tc>
        <w:tc>
          <w:tcPr>
            <w:tcW w:w="28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Broker Non-Votes</w:t>
            </w:r>
          </w:p>
        </w:tc>
      </w:tr>
      <w:tr>
        <w:trPr>
          <w:trHeight w:val="196"/>
        </w:trPr>
        <w:tc>
          <w:tcPr>
            <w:tcW w:w="2820" w:type="dxa"/>
            <w:vAlign w:val="bottom"/>
            <w:tcBorders>
              <w:left w:val="single" w:sz="8" w:color="auto"/>
              <w:bottom w:val="single" w:sz="8" w:color="auto"/>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Geno Germano</w:t>
            </w:r>
          </w:p>
        </w:tc>
        <w:tc>
          <w:tcPr>
            <w:tcW w:w="206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44,963,163</w:t>
            </w:r>
          </w:p>
        </w:tc>
        <w:tc>
          <w:tcPr>
            <w:tcW w:w="224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1,524,142</w:t>
            </w:r>
          </w:p>
        </w:tc>
        <w:tc>
          <w:tcPr>
            <w:tcW w:w="282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3,894,004</w:t>
            </w:r>
          </w:p>
        </w:tc>
      </w:tr>
      <w:tr>
        <w:trPr>
          <w:trHeight w:val="196"/>
        </w:trPr>
        <w:tc>
          <w:tcPr>
            <w:tcW w:w="28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Troy Ignelzi</w:t>
            </w:r>
          </w:p>
        </w:tc>
        <w:tc>
          <w:tcPr>
            <w:tcW w:w="20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32,813,495</w:t>
            </w:r>
          </w:p>
        </w:tc>
        <w:tc>
          <w:tcPr>
            <w:tcW w:w="2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13,673,810</w:t>
            </w:r>
          </w:p>
        </w:tc>
        <w:tc>
          <w:tcPr>
            <w:tcW w:w="2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3,894,004</w:t>
            </w:r>
          </w:p>
        </w:tc>
      </w:tr>
      <w:tr>
        <w:trPr>
          <w:trHeight w:val="196"/>
        </w:trPr>
        <w:tc>
          <w:tcPr>
            <w:tcW w:w="2820" w:type="dxa"/>
            <w:vAlign w:val="bottom"/>
            <w:tcBorders>
              <w:left w:val="single" w:sz="8" w:color="auto"/>
              <w:bottom w:val="single" w:sz="8" w:color="auto"/>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Ron Philip</w:t>
            </w:r>
          </w:p>
        </w:tc>
        <w:tc>
          <w:tcPr>
            <w:tcW w:w="206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31,826,838</w:t>
            </w:r>
          </w:p>
        </w:tc>
        <w:tc>
          <w:tcPr>
            <w:tcW w:w="224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14,660,467</w:t>
            </w:r>
          </w:p>
        </w:tc>
        <w:tc>
          <w:tcPr>
            <w:tcW w:w="282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3,894,004</w:t>
            </w:r>
          </w:p>
        </w:tc>
      </w:tr>
      <w:tr>
        <w:trPr>
          <w:trHeight w:val="196"/>
        </w:trPr>
        <w:tc>
          <w:tcPr>
            <w:tcW w:w="282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Andreas Wicki, Ph.D.</w:t>
            </w:r>
          </w:p>
        </w:tc>
        <w:tc>
          <w:tcPr>
            <w:tcW w:w="20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25,114,526</w:t>
            </w:r>
          </w:p>
        </w:tc>
        <w:tc>
          <w:tcPr>
            <w:tcW w:w="22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21,372,779</w:t>
            </w:r>
          </w:p>
        </w:tc>
        <w:tc>
          <w:tcPr>
            <w:tcW w:w="28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3,894,004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Based on the votes set forth above, each of the director nominees was duly elected.</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Proposal 2. The ratification of the appointment of Deloitte &amp; Touche LLP as the Company’s independent registered public accounting firm for the fiscal year ending December 31, 2026.</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940" w:type="dxa"/>
            <w:vAlign w:val="bottom"/>
            <w:tcBorders>
              <w:top w:val="single" w:sz="8" w:color="auto"/>
              <w:left w:val="single" w:sz="8" w:color="auto"/>
              <w:bottom w:val="single" w:sz="8" w:color="auto"/>
            </w:tcBorders>
          </w:tcPr>
          <w:p>
            <w:pPr>
              <w:ind w:left="1080"/>
              <w:spacing w:after="0"/>
              <w:rPr>
                <w:sz w:val="20"/>
                <w:szCs w:val="20"/>
                <w:color w:val="auto"/>
              </w:rPr>
            </w:pPr>
            <w:r>
              <w:rPr>
                <w:rFonts w:ascii="Arial" w:cs="Arial" w:eastAsia="Arial" w:hAnsi="Arial"/>
                <w:sz w:val="18"/>
                <w:szCs w:val="18"/>
                <w:b w:val="1"/>
                <w:bCs w:val="1"/>
                <w:color w:val="auto"/>
              </w:rPr>
              <w:t>Votes For</w:t>
            </w:r>
          </w:p>
        </w:tc>
        <w:tc>
          <w:tcPr>
            <w:tcW w:w="1040" w:type="dxa"/>
            <w:vAlign w:val="bottom"/>
            <w:tcBorders>
              <w:top w:val="single" w:sz="8" w:color="auto"/>
              <w:bottom w:val="single" w:sz="8" w:color="auto"/>
              <w:right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rPr>
              <w:t>Votes Against</w:t>
            </w:r>
          </w:p>
        </w:tc>
        <w:tc>
          <w:tcPr>
            <w:tcW w:w="1000" w:type="dxa"/>
            <w:vAlign w:val="bottom"/>
            <w:tcBorders>
              <w:top w:val="single" w:sz="8" w:color="auto"/>
              <w:bottom w:val="single" w:sz="8" w:color="auto"/>
              <w:right w:val="single" w:sz="8" w:color="auto"/>
            </w:tcBorders>
          </w:tcPr>
          <w:p>
            <w:pPr>
              <w:spacing w:after="0"/>
              <w:rPr>
                <w:sz w:val="18"/>
                <w:szCs w:val="18"/>
                <w:color w:val="auto"/>
              </w:rPr>
            </w:pPr>
          </w:p>
        </w:tc>
        <w:tc>
          <w:tcPr>
            <w:tcW w:w="3300" w:type="dxa"/>
            <w:vAlign w:val="bottom"/>
            <w:tcBorders>
              <w:top w:val="single" w:sz="8" w:color="auto"/>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Abstain</w:t>
            </w:r>
          </w:p>
        </w:tc>
      </w:tr>
      <w:tr>
        <w:trPr>
          <w:trHeight w:val="196"/>
        </w:trPr>
        <w:tc>
          <w:tcPr>
            <w:tcW w:w="1940" w:type="dxa"/>
            <w:vAlign w:val="bottom"/>
            <w:tcBorders>
              <w:left w:val="single" w:sz="8" w:color="auto"/>
              <w:bottom w:val="single" w:sz="8" w:color="auto"/>
            </w:tcBorders>
            <w:shd w:val="clear" w:color="auto" w:fill="CCEEFF"/>
          </w:tcPr>
          <w:p>
            <w:pPr>
              <w:spacing w:after="0"/>
              <w:rPr>
                <w:sz w:val="17"/>
                <w:szCs w:val="17"/>
                <w:color w:val="auto"/>
              </w:rPr>
            </w:pPr>
          </w:p>
        </w:tc>
        <w:tc>
          <w:tcPr>
            <w:tcW w:w="1040" w:type="dxa"/>
            <w:vAlign w:val="bottom"/>
            <w:tcBorders>
              <w:bottom w:val="single" w:sz="8" w:color="auto"/>
              <w:right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49,385,510</w:t>
            </w:r>
          </w:p>
        </w:tc>
        <w:tc>
          <w:tcPr>
            <w:tcW w:w="26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830,697</w:t>
            </w:r>
          </w:p>
        </w:tc>
        <w:tc>
          <w:tcPr>
            <w:tcW w:w="330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165,102</w:t>
            </w: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Based on the votes set forth above, the appointment of Deloitte &amp; Touche LLP as the Company’s independent registered public accounting firm for the year ended December 31, 2026, was duly ratified.</w:t>
      </w:r>
    </w:p>
    <w:p>
      <w:pPr>
        <w:spacing w:after="0" w:line="140"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Proposal 3. The approval on a non-binding, advisory basis, of the compensation of the Company’s named executive officers pursuant to the SEC’s compensation disclosure rules.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20" w:type="dxa"/>
            <w:vAlign w:val="bottom"/>
            <w:tcBorders>
              <w:top w:val="single" w:sz="8" w:color="auto"/>
              <w:left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For</w:t>
            </w:r>
          </w:p>
        </w:tc>
        <w:tc>
          <w:tcPr>
            <w:tcW w:w="232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Against</w:t>
            </w:r>
          </w:p>
        </w:tc>
        <w:tc>
          <w:tcPr>
            <w:tcW w:w="228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Abstain</w:t>
            </w:r>
          </w:p>
        </w:tc>
        <w:tc>
          <w:tcPr>
            <w:tcW w:w="302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Broker Non-Vote</w:t>
            </w:r>
          </w:p>
        </w:tc>
      </w:tr>
      <w:tr>
        <w:trPr>
          <w:trHeight w:val="196"/>
        </w:trPr>
        <w:tc>
          <w:tcPr>
            <w:tcW w:w="2320" w:type="dxa"/>
            <w:vAlign w:val="bottom"/>
            <w:tcBorders>
              <w:left w:val="single" w:sz="8" w:color="auto"/>
              <w:bottom w:val="single" w:sz="8" w:color="auto"/>
              <w:right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33,249,862</w:t>
            </w:r>
          </w:p>
        </w:tc>
        <w:tc>
          <w:tcPr>
            <w:tcW w:w="232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13,042,898</w:t>
            </w:r>
          </w:p>
        </w:tc>
        <w:tc>
          <w:tcPr>
            <w:tcW w:w="2280" w:type="dxa"/>
            <w:vAlign w:val="bottom"/>
            <w:tcBorders>
              <w:bottom w:val="single" w:sz="8" w:color="auto"/>
              <w:right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194,545</w:t>
            </w:r>
          </w:p>
        </w:tc>
        <w:tc>
          <w:tcPr>
            <w:tcW w:w="302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3,894,004</w:t>
            </w: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Based on the votes set forth above, the shareholders approved, on a non-binding, advisory basis, the compensation of the Company’s named executive officers pursuant to the SEC’s compensation disclosure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3281045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HARMONY BIOSCIENCES HOLDINGS, INC.</w:t>
      </w:r>
    </w:p>
    <w:p>
      <w:pPr>
        <w:spacing w:after="0" w:line="198"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May 14, 2026</w:t>
      </w:r>
      <w:r>
        <w:rPr>
          <w:sz w:val="20"/>
          <w:szCs w:val="20"/>
          <w:color w:val="auto"/>
        </w:rPr>
        <w:tab/>
      </w:r>
      <w:r>
        <w:rPr>
          <w:rFonts w:ascii="Arial" w:cs="Arial" w:eastAsia="Arial" w:hAnsi="Arial"/>
          <w:sz w:val="18"/>
          <w:szCs w:val="18"/>
          <w:color w:val="auto"/>
        </w:rPr>
        <w:t>By: /s/ Christian Ulrich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8890</wp:posOffset>
            </wp:positionV>
            <wp:extent cx="2931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Christian Ulrich</w:t>
      </w:r>
    </w:p>
    <w:p>
      <w:pPr>
        <w:ind w:left="5300"/>
        <w:spacing w:after="0"/>
        <w:rPr>
          <w:sz w:val="20"/>
          <w:szCs w:val="20"/>
          <w:color w:val="auto"/>
        </w:rPr>
      </w:pPr>
      <w:r>
        <w:rPr>
          <w:rFonts w:ascii="Arial" w:cs="Arial" w:eastAsia="Arial" w:hAnsi="Arial"/>
          <w:sz w:val="18"/>
          <w:szCs w:val="18"/>
          <w:color w:val="auto"/>
        </w:rPr>
        <w:t>EVP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675005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60"/>
      </w:cols>
      <w:pgMar w:left="980" w:top="12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2026-05-14T15:43:54Z</dcterms:created>
  <dcterms:modified xsi:type="dcterms:W3CDTF">2026-05-14T15:43:54Z</dcterms:modified>
</cp:coreProperties>
</file>