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Harmony Biosciences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413197104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4"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120" w:hanging="624"/>
        <w:spacing w:after="0"/>
        <w:tabs>
          <w:tab w:leader="none" w:pos="11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20" w:hanging="624"/>
        <w:spacing w:after="0"/>
        <w:tabs>
          <w:tab w:leader="none" w:pos="1120"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rFonts w:ascii="Arial" w:cs="Arial" w:eastAsia="Arial" w:hAnsi="Arial"/>
          <w:sz w:val="18"/>
          <w:szCs w:val="18"/>
          <w:color w:val="auto"/>
        </w:rPr>
      </w:pPr>
    </w:p>
    <w:p>
      <w:pPr>
        <w:ind w:right="580"/>
        <w:spacing w:after="0" w:line="308" w:lineRule="auto"/>
        <w:rPr>
          <w:rFonts w:ascii="Arial" w:cs="Arial" w:eastAsia="Arial" w:hAnsi="Arial"/>
          <w:sz w:val="18"/>
          <w:szCs w:val="18"/>
          <w:color w:val="auto"/>
        </w:rPr>
      </w:pPr>
      <w:r>
        <w:rPr>
          <w:rFonts w:ascii="Arial" w:cs="Arial" w:eastAsia="Arial" w:hAnsi="Arial"/>
          <w:sz w:val="17"/>
          <w:szCs w:val="17"/>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406400</wp:posOffset>
            </wp:positionV>
            <wp:extent cx="71532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060"/>
          </w:cols>
          <w:pgMar w:left="320" w:top="567" w:right="519" w:bottom="1440" w:gutter="0" w:footer="0" w:header="0"/>
        </w:sectPr>
      </w:pPr>
    </w:p>
    <w:bookmarkStart w:id="1" w:name="page2"/>
    <w:bookmarkEnd w:id="1"/>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HBM Healthcare Investments (Cayman) Ltd.</w:t>
      </w:r>
    </w:p>
    <w:p>
      <w:pPr>
        <w:spacing w:after="0" w:line="116"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Check the Appropriate Box if a Member of a Group</w:t>
      </w:r>
    </w:p>
    <w:p>
      <w:pPr>
        <w:spacing w:after="0" w:line="140" w:lineRule="exact"/>
        <w:rPr>
          <w:rFonts w:ascii="Arial" w:cs="Arial" w:eastAsia="Arial" w:hAnsi="Arial"/>
          <w:sz w:val="16"/>
          <w:szCs w:val="16"/>
          <w:color w:val="auto"/>
        </w:rPr>
      </w:pPr>
    </w:p>
    <w:p>
      <w:pPr>
        <w:ind w:left="2140" w:hanging="1139"/>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140" w:hanging="1139"/>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17"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30" w:lineRule="exact"/>
        <w:rPr>
          <w:rFonts w:ascii="Arial" w:cs="Arial" w:eastAsia="Arial" w:hAnsi="Arial"/>
          <w:sz w:val="18"/>
          <w:szCs w:val="18"/>
          <w:color w:val="auto"/>
        </w:rPr>
      </w:pPr>
    </w:p>
    <w:p>
      <w:pPr>
        <w:jc w:val="both"/>
        <w:ind w:left="1000" w:right="7080" w:hanging="620"/>
        <w:spacing w:after="0" w:line="342" w:lineRule="auto"/>
        <w:tabs>
          <w:tab w:leader="none" w:pos="10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Citizenship or Place of Organization: Cayman Islands, British West Indies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4979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-366395</wp:posOffset>
            </wp:positionV>
            <wp:extent cx="64979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-572135</wp:posOffset>
            </wp:positionV>
            <wp:extent cx="57778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1321435</wp:posOffset>
            </wp:positionH>
            <wp:positionV relativeFrom="paragraph">
              <wp:posOffset>-786130</wp:posOffset>
            </wp:positionV>
            <wp:extent cx="57778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7786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-1206500</wp:posOffset>
            </wp:positionV>
            <wp:extent cx="6497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ectPr>
          <w:pgSz w:w="11900" w:h="16838" w:orient="portrait"/>
          <w:cols w:equalWidth="0" w:num="1">
            <w:col w:w="10760"/>
          </w:cols>
          <w:pgMar w:left="380" w:top="395" w:right="759" w:bottom="1440" w:gutter="0" w:footer="0" w:header="0"/>
        </w:sectPr>
      </w:pPr>
    </w:p>
    <w:p>
      <w:pPr>
        <w:spacing w:after="0" w:line="29"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Number of</w:t>
      </w:r>
    </w:p>
    <w:p>
      <w:pPr>
        <w:spacing w:after="0" w:line="23"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Shares</w:t>
      </w:r>
      <w:r>
        <w:rPr>
          <w:sz w:val="20"/>
          <w:szCs w:val="20"/>
          <w:color w:val="auto"/>
        </w:rPr>
        <w:tab/>
      </w:r>
      <w:r>
        <w:rPr>
          <w:rFonts w:ascii="Arial" w:cs="Arial" w:eastAsia="Arial" w:hAnsi="Arial"/>
          <w:sz w:val="16"/>
          <w:szCs w:val="16"/>
          <w:color w:val="auto"/>
        </w:rPr>
        <w:t>6.</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Beneficially</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Owned by</w:t>
      </w:r>
    </w:p>
    <w:p>
      <w:pPr>
        <w:spacing w:after="0" w:line="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Each</w:t>
      </w:r>
      <w:r>
        <w:rPr>
          <w:sz w:val="20"/>
          <w:szCs w:val="20"/>
          <w:color w:val="auto"/>
        </w:rPr>
        <w:tab/>
      </w:r>
      <w:r>
        <w:rPr>
          <w:rFonts w:ascii="Arial" w:cs="Arial" w:eastAsia="Arial" w:hAnsi="Arial"/>
          <w:sz w:val="16"/>
          <w:szCs w:val="16"/>
          <w:color w:val="auto"/>
        </w:rPr>
        <w:t>7.</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Reporting</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Person With</w:t>
      </w:r>
    </w:p>
    <w:p>
      <w:pPr>
        <w:spacing w:after="0" w:line="9" w:lineRule="exact"/>
        <w:rPr>
          <w:sz w:val="20"/>
          <w:szCs w:val="20"/>
          <w:color w:val="auto"/>
        </w:rPr>
      </w:pPr>
    </w:p>
    <w:p>
      <w:pPr>
        <w:jc w:val="right"/>
        <w:ind w:right="2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4,641,779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4,641,779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3496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40005</wp:posOffset>
            </wp:positionV>
            <wp:extent cx="54349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34965" cy="825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1960" w:space="720"/>
            <w:col w:w="8080"/>
          </w:cols>
          <w:pgMar w:left="380" w:top="395" w:right="759" w:bottom="1440" w:gutter="0" w:footer="0" w:header="0"/>
          <w:type w:val="continuous"/>
        </w:sectPr>
      </w:pPr>
    </w:p>
    <w:p>
      <w:pPr>
        <w:ind w:left="1000" w:right="4900" w:hanging="620"/>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4,641,779</w:t>
      </w:r>
    </w:p>
    <w:p>
      <w:pPr>
        <w:spacing w:after="0" w:line="170"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(See Instructions) o</w:t>
      </w:r>
    </w:p>
    <w:p>
      <w:pPr>
        <w:spacing w:after="0" w:line="225"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8.2% (1)</w:t>
      </w:r>
    </w:p>
    <w:p>
      <w:pPr>
        <w:spacing w:after="0" w:line="210" w:lineRule="exact"/>
        <w:rPr>
          <w:rFonts w:ascii="Arial" w:cs="Arial" w:eastAsia="Arial" w:hAnsi="Arial"/>
          <w:sz w:val="18"/>
          <w:szCs w:val="18"/>
          <w:color w:val="auto"/>
        </w:rPr>
      </w:pPr>
    </w:p>
    <w:p>
      <w:pPr>
        <w:ind w:left="1000" w:hanging="620"/>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60" w:firstLine="656"/>
        <w:spacing w:after="0" w:line="277" w:lineRule="auto"/>
        <w:tabs>
          <w:tab w:leader="none" w:pos="1293" w:val="left"/>
        </w:tabs>
        <w:numPr>
          <w:ilvl w:val="1"/>
          <w:numId w:val="3"/>
        </w:numPr>
        <w:rPr>
          <w:rFonts w:ascii="Arial" w:cs="Arial" w:eastAsia="Arial" w:hAnsi="Arial"/>
          <w:sz w:val="18"/>
          <w:szCs w:val="18"/>
          <w:color w:val="auto"/>
        </w:rPr>
      </w:pPr>
      <w:r>
        <w:rPr>
          <w:rFonts w:ascii="Arial" w:cs="Arial" w:eastAsia="Arial" w:hAnsi="Arial"/>
          <w:sz w:val="18"/>
          <w:szCs w:val="18"/>
          <w:color w:val="auto"/>
        </w:rPr>
        <w:t>Based on 56,889,111 shares of Common Stock outstanding as of November 9, 2020, as reported in the Issuer’s Quarterly Report on Form 10-Q, filed with the SEC on November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-584835</wp:posOffset>
            </wp:positionV>
            <wp:extent cx="6497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-996315</wp:posOffset>
            </wp:positionV>
            <wp:extent cx="6497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-1407795</wp:posOffset>
            </wp:positionV>
            <wp:extent cx="64979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-1682115</wp:posOffset>
            </wp:positionV>
            <wp:extent cx="64979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-370840</wp:posOffset>
            </wp:positionV>
            <wp:extent cx="1800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5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0760"/>
          </w:cols>
          <w:pgMar w:left="380" w:top="395" w:right="7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520" w:type="dxa"/>
            <w:vAlign w:val="bottom"/>
          </w:tcPr>
          <w:p>
            <w:pPr>
              <w:ind w:left="8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19"/>
                <w:szCs w:val="19"/>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Harmony Biosciences Holdings, Inc.</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520" w:type="dxa"/>
            <w:vAlign w:val="bottom"/>
            <w:vMerge w:val="restart"/>
          </w:tcPr>
          <w:p>
            <w:pPr>
              <w:ind w:left="80"/>
              <w:spacing w:after="0"/>
              <w:rPr>
                <w:sz w:val="20"/>
                <w:szCs w:val="20"/>
                <w:color w:val="auto"/>
              </w:rPr>
            </w:pPr>
            <w:r>
              <w:rPr>
                <w:rFonts w:ascii="Arial" w:cs="Arial" w:eastAsia="Arial" w:hAnsi="Arial"/>
                <w:sz w:val="18"/>
                <w:szCs w:val="18"/>
                <w:color w:val="auto"/>
              </w:rPr>
              <w:t>(b).</w:t>
            </w:r>
          </w:p>
        </w:tc>
        <w:tc>
          <w:tcPr>
            <w:tcW w:w="2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52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630 W. Germantown Pike</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Plymouth Meeting, PA 19462</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Item 2(a).</w:t>
            </w:r>
          </w:p>
        </w:tc>
        <w:tc>
          <w:tcPr>
            <w:tcW w:w="5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44"/>
        </w:trPr>
        <w:tc>
          <w:tcPr>
            <w:tcW w:w="8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Name of Person Filing:</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HBM Healthcare Investments (Cayman) Ltd.</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Item 2(b).</w:t>
            </w:r>
          </w:p>
        </w:tc>
        <w:tc>
          <w:tcPr>
            <w:tcW w:w="5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6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Address of Principal Business Office: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Governors Square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Suite #4-212-2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23 Lime Tree Bay Avenue</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West Bay</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Grand Cayman, Cayman Islands</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Item 2(c).</w:t>
            </w:r>
          </w:p>
        </w:tc>
        <w:tc>
          <w:tcPr>
            <w:tcW w:w="5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860" w:type="dxa"/>
            <w:vAlign w:val="bottom"/>
            <w:vMerge w:val="continue"/>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Citizenship:</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Cayman Islands, British West Indies</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Item 2(d).</w:t>
            </w:r>
          </w:p>
        </w:tc>
        <w:tc>
          <w:tcPr>
            <w:tcW w:w="5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6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Common Stock, par value $0.00001</w:t>
            </w:r>
          </w:p>
        </w:tc>
        <w:tc>
          <w:tcPr>
            <w:tcW w:w="0" w:type="dxa"/>
            <w:vAlign w:val="bottom"/>
          </w:tcPr>
          <w:p>
            <w:pPr>
              <w:spacing w:after="0"/>
              <w:rPr>
                <w:sz w:val="1"/>
                <w:szCs w:val="1"/>
                <w:color w:val="auto"/>
              </w:rPr>
            </w:pPr>
          </w:p>
        </w:tc>
      </w:tr>
      <w:tr>
        <w:trPr>
          <w:trHeight w:val="54"/>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Item 2(e).</w:t>
            </w:r>
          </w:p>
        </w:tc>
        <w:tc>
          <w:tcPr>
            <w:tcW w:w="5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860" w:type="dxa"/>
            <w:vAlign w:val="bottom"/>
            <w:vMerge w:val="continue"/>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0" w:type="dxa"/>
            <w:vAlign w:val="bottom"/>
            <w:gridSpan w:val="2"/>
          </w:tcPr>
          <w:p>
            <w:pPr>
              <w:ind w:left="60"/>
              <w:spacing w:after="0"/>
              <w:rPr>
                <w:sz w:val="20"/>
                <w:szCs w:val="20"/>
                <w:color w:val="auto"/>
              </w:rPr>
            </w:pPr>
            <w:r>
              <w:rPr>
                <w:rFonts w:ascii="Arial" w:cs="Arial" w:eastAsia="Arial" w:hAnsi="Arial"/>
                <w:sz w:val="18"/>
                <w:szCs w:val="18"/>
                <w:color w:val="auto"/>
              </w:rPr>
              <w:t>413197104</w:t>
            </w:r>
          </w:p>
        </w:tc>
        <w:tc>
          <w:tcPr>
            <w:tcW w:w="0" w:type="dxa"/>
            <w:vAlign w:val="bottom"/>
          </w:tcPr>
          <w:p>
            <w:pPr>
              <w:spacing w:after="0"/>
              <w:rPr>
                <w:sz w:val="1"/>
                <w:szCs w:val="1"/>
                <w:color w:val="auto"/>
              </w:rPr>
            </w:pPr>
          </w:p>
        </w:tc>
      </w:tr>
      <w:tr>
        <w:trPr>
          <w:trHeight w:val="54"/>
        </w:trPr>
        <w:tc>
          <w:tcPr>
            <w:tcW w:w="86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9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8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20" w:type="dxa"/>
            <w:vAlign w:val="bottom"/>
            <w:gridSpan w:val="3"/>
          </w:tcPr>
          <w:p>
            <w:pPr>
              <w:ind w:left="80"/>
              <w:spacing w:after="0"/>
              <w:rPr>
                <w:sz w:val="20"/>
                <w:szCs w:val="20"/>
                <w:color w:val="auto"/>
              </w:rPr>
            </w:pPr>
            <w:r>
              <w:rPr>
                <w:rFonts w:ascii="Arial" w:cs="Arial" w:eastAsia="Arial" w:hAnsi="Arial"/>
                <w:sz w:val="18"/>
                <w:szCs w:val="18"/>
                <w:b w:val="1"/>
                <w:bCs w:val="1"/>
                <w:color w:val="auto"/>
              </w:rPr>
              <w:t>If this statement is filed pursuant to Rule 13d-1(b), or 13d-2(b) or (c), check whether the person filing is a:</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10320" w:type="dxa"/>
            <w:vAlign w:val="bottom"/>
            <w:gridSpan w:val="3"/>
          </w:tcPr>
          <w:p>
            <w:pPr>
              <w:ind w:left="8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324"/>
        </w:trPr>
        <w:tc>
          <w:tcPr>
            <w:tcW w:w="8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320" w:type="dxa"/>
            <w:vAlign w:val="bottom"/>
            <w:gridSpan w:val="3"/>
          </w:tcPr>
          <w:p>
            <w:pPr>
              <w:ind w:left="80"/>
              <w:spacing w:after="0"/>
              <w:rPr>
                <w:sz w:val="20"/>
                <w:szCs w:val="20"/>
                <w:color w:val="auto"/>
              </w:rPr>
            </w:pPr>
            <w:r>
              <w:rPr>
                <w:rFonts w:ascii="Arial" w:cs="Arial" w:eastAsia="Arial" w:hAnsi="Arial"/>
                <w:sz w:val="18"/>
                <w:szCs w:val="18"/>
                <w:b w:val="1"/>
                <w:bCs w:val="1"/>
                <w:color w:val="auto"/>
              </w:rPr>
              <w:t>Ownership.</w:t>
            </w:r>
          </w:p>
        </w:tc>
        <w:tc>
          <w:tcPr>
            <w:tcW w:w="0" w:type="dxa"/>
            <w:vAlign w:val="bottom"/>
          </w:tcPr>
          <w:p>
            <w:pPr>
              <w:spacing w:after="0"/>
              <w:rPr>
                <w:sz w:val="1"/>
                <w:szCs w:val="1"/>
                <w:color w:val="auto"/>
              </w:rPr>
            </w:pPr>
          </w:p>
        </w:tc>
      </w:tr>
      <w:tr>
        <w:trPr>
          <w:trHeight w:val="310"/>
        </w:trPr>
        <w:tc>
          <w:tcPr>
            <w:tcW w:w="8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(a)</w:t>
            </w:r>
          </w:p>
        </w:tc>
        <w:tc>
          <w:tcPr>
            <w:tcW w:w="20" w:type="dxa"/>
            <w:vAlign w:val="bottom"/>
          </w:tcPr>
          <w:p>
            <w:pPr>
              <w:spacing w:after="0"/>
              <w:rPr>
                <w:sz w:val="24"/>
                <w:szCs w:val="24"/>
                <w:color w:val="auto"/>
              </w:rPr>
            </w:pPr>
          </w:p>
        </w:tc>
        <w:tc>
          <w:tcPr>
            <w:tcW w:w="9780" w:type="dxa"/>
            <w:vAlign w:val="bottom"/>
          </w:tcPr>
          <w:p>
            <w:pPr>
              <w:ind w:left="40"/>
              <w:spacing w:after="0"/>
              <w:rPr>
                <w:sz w:val="20"/>
                <w:szCs w:val="20"/>
                <w:color w:val="auto"/>
              </w:rPr>
            </w:pPr>
            <w:r>
              <w:rPr>
                <w:rFonts w:ascii="Arial" w:cs="Arial" w:eastAsia="Arial" w:hAnsi="Arial"/>
                <w:sz w:val="18"/>
                <w:szCs w:val="18"/>
                <w:color w:val="auto"/>
              </w:rPr>
              <w:t>Amount beneficially owned:</w:t>
            </w:r>
          </w:p>
        </w:tc>
        <w:tc>
          <w:tcPr>
            <w:tcW w:w="0" w:type="dxa"/>
            <w:vAlign w:val="bottom"/>
          </w:tcPr>
          <w:p>
            <w:pPr>
              <w:spacing w:after="0"/>
              <w:rPr>
                <w:sz w:val="1"/>
                <w:szCs w:val="1"/>
                <w:color w:val="auto"/>
              </w:rPr>
            </w:pPr>
          </w:p>
        </w:tc>
      </w:tr>
      <w:tr>
        <w:trPr>
          <w:trHeight w:val="284"/>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0" w:type="dxa"/>
            <w:vAlign w:val="bottom"/>
            <w:gridSpan w:val="2"/>
          </w:tcPr>
          <w:p>
            <w:pPr>
              <w:ind w:left="60"/>
              <w:spacing w:after="0"/>
              <w:rPr>
                <w:sz w:val="20"/>
                <w:szCs w:val="20"/>
                <w:color w:val="auto"/>
              </w:rPr>
            </w:pPr>
            <w:r>
              <w:rPr>
                <w:rFonts w:ascii="Arial" w:cs="Arial" w:eastAsia="Arial" w:hAnsi="Arial"/>
                <w:sz w:val="18"/>
                <w:szCs w:val="18"/>
                <w:color w:val="auto"/>
              </w:rPr>
              <w:t xml:space="preserve">4,641,779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(b)</w:t>
            </w:r>
          </w:p>
        </w:tc>
        <w:tc>
          <w:tcPr>
            <w:tcW w:w="20" w:type="dxa"/>
            <w:vAlign w:val="bottom"/>
          </w:tcPr>
          <w:p>
            <w:pPr>
              <w:spacing w:after="0"/>
              <w:rPr>
                <w:sz w:val="21"/>
                <w:szCs w:val="21"/>
                <w:color w:val="auto"/>
              </w:rPr>
            </w:pPr>
          </w:p>
        </w:tc>
        <w:tc>
          <w:tcPr>
            <w:tcW w:w="9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Percent of class:</w:t>
            </w:r>
          </w:p>
        </w:tc>
        <w:tc>
          <w:tcPr>
            <w:tcW w:w="0" w:type="dxa"/>
            <w:vAlign w:val="bottom"/>
          </w:tcPr>
          <w:p>
            <w:pPr>
              <w:spacing w:after="0"/>
              <w:rPr>
                <w:sz w:val="1"/>
                <w:szCs w:val="1"/>
                <w:color w:val="auto"/>
              </w:rPr>
            </w:pPr>
          </w:p>
        </w:tc>
      </w:tr>
      <w:tr>
        <w:trPr>
          <w:trHeight w:val="313"/>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0" w:type="dxa"/>
            <w:vAlign w:val="bottom"/>
            <w:gridSpan w:val="2"/>
          </w:tcPr>
          <w:p>
            <w:pPr>
              <w:ind w:left="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-17145</wp:posOffset>
            </wp:positionV>
            <wp:extent cx="62147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14745" cy="8890"/>
                    </a:xfrm>
                    <a:prstGeom prst="rect">
                      <a:avLst/>
                    </a:prstGeom>
                    <a:noFill/>
                  </pic:spPr>
                </pic:pic>
              </a:graphicData>
            </a:graphic>
          </wp:anchor>
        </w:drawing>
      </w:r>
    </w:p>
    <w:p>
      <w:pPr>
        <w:ind w:left="1040"/>
        <w:spacing w:after="0"/>
        <w:tabs>
          <w:tab w:leader="none" w:pos="1420" w:val="left"/>
        </w:tabs>
        <w:rPr>
          <w:sz w:val="20"/>
          <w:szCs w:val="20"/>
          <w:color w:val="auto"/>
        </w:rPr>
      </w:pPr>
      <w:r>
        <w:rPr>
          <w:rFonts w:ascii="Arial" w:cs="Arial" w:eastAsia="Arial" w:hAnsi="Arial"/>
          <w:sz w:val="18"/>
          <w:szCs w:val="18"/>
          <w:color w:val="auto"/>
        </w:rPr>
        <w:t>(c)</w:t>
        <w:tab/>
        <w:t>Number of shares as to which the Reporting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883920</wp:posOffset>
            </wp:positionH>
            <wp:positionV relativeFrom="paragraph">
              <wp:posOffset>194945</wp:posOffset>
            </wp:positionV>
            <wp:extent cx="6214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14745" cy="8255"/>
                    </a:xfrm>
                    <a:prstGeom prst="rect">
                      <a:avLst/>
                    </a:prstGeom>
                    <a:noFill/>
                  </pic:spPr>
                </pic:pic>
              </a:graphicData>
            </a:graphic>
          </wp:anchor>
        </w:drawing>
      </w:r>
    </w:p>
    <w:p>
      <w:pPr>
        <w:spacing w:after="0" w:line="340" w:lineRule="exact"/>
        <w:rPr>
          <w:sz w:val="20"/>
          <w:szCs w:val="20"/>
          <w:color w:val="auto"/>
        </w:rPr>
      </w:pPr>
    </w:p>
    <w:p>
      <w:pPr>
        <w:ind w:left="2060" w:right="6260" w:hanging="442"/>
        <w:spacing w:after="0" w:line="277" w:lineRule="auto"/>
        <w:tabs>
          <w:tab w:leader="none" w:pos="2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4,641,779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14605</wp:posOffset>
            </wp:positionV>
            <wp:extent cx="58204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20410" cy="8255"/>
                    </a:xfrm>
                    <a:prstGeom prst="rect">
                      <a:avLst/>
                    </a:prstGeom>
                    <a:noFill/>
                  </pic:spPr>
                </pic:pic>
              </a:graphicData>
            </a:graphic>
          </wp:anchor>
        </w:drawing>
      </w:r>
    </w:p>
    <w:p>
      <w:pPr>
        <w:spacing w:after="0" w:line="56" w:lineRule="exact"/>
        <w:rPr>
          <w:sz w:val="20"/>
          <w:szCs w:val="20"/>
          <w:color w:val="auto"/>
        </w:rPr>
      </w:pPr>
    </w:p>
    <w:p>
      <w:pPr>
        <w:ind w:left="2060" w:right="6080" w:hanging="467"/>
        <w:spacing w:after="0" w:line="277" w:lineRule="auto"/>
        <w:tabs>
          <w:tab w:leader="none" w:pos="2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14605</wp:posOffset>
            </wp:positionV>
            <wp:extent cx="58204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56" w:lineRule="exact"/>
        <w:rPr>
          <w:sz w:val="20"/>
          <w:szCs w:val="20"/>
          <w:color w:val="auto"/>
        </w:rPr>
      </w:pPr>
    </w:p>
    <w:p>
      <w:pPr>
        <w:ind w:left="2060" w:right="5340" w:hanging="492"/>
        <w:spacing w:after="0" w:line="277" w:lineRule="auto"/>
        <w:tabs>
          <w:tab w:leader="none" w:pos="2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4,641,779</w:t>
      </w:r>
    </w:p>
    <w:p>
      <w:pPr>
        <w:spacing w:after="0" w:line="75" w:lineRule="exact"/>
        <w:rPr>
          <w:rFonts w:ascii="Arial" w:cs="Arial" w:eastAsia="Arial" w:hAnsi="Arial"/>
          <w:sz w:val="18"/>
          <w:szCs w:val="18"/>
          <w:color w:val="auto"/>
        </w:rPr>
      </w:pPr>
    </w:p>
    <w:p>
      <w:pPr>
        <w:ind w:left="2060" w:right="5160" w:hanging="487"/>
        <w:spacing w:after="0" w:line="277" w:lineRule="auto"/>
        <w:tabs>
          <w:tab w:leader="none" w:pos="20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1278255</wp:posOffset>
            </wp:positionH>
            <wp:positionV relativeFrom="paragraph">
              <wp:posOffset>14605</wp:posOffset>
            </wp:positionV>
            <wp:extent cx="58204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column">
              <wp:posOffset>1278255</wp:posOffset>
            </wp:positionH>
            <wp:positionV relativeFrom="paragraph">
              <wp:posOffset>-336550</wp:posOffset>
            </wp:positionV>
            <wp:extent cx="58204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80"/>
          </w:cols>
          <w:pgMar w:left="380" w:top="391" w:right="339" w:bottom="1440" w:gutter="0" w:footer="0" w:header="0"/>
        </w:sectPr>
      </w:pPr>
    </w:p>
    <w:bookmarkStart w:id="3" w:name="page4"/>
    <w:bookmarkEnd w:id="3"/>
    <w:p>
      <w:pPr>
        <w:spacing w:after="0"/>
        <w:tabs>
          <w:tab w:leader="none" w:pos="9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940" w:right="800" w:hanging="944"/>
        <w:spacing w:after="0" w:line="282" w:lineRule="auto"/>
        <w:tabs>
          <w:tab w:leader="none" w:pos="9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1320" w:right="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79" w:lineRule="exact"/>
        <w:rPr>
          <w:sz w:val="20"/>
          <w:szCs w:val="20"/>
          <w:color w:val="auto"/>
        </w:rPr>
      </w:pPr>
    </w:p>
    <w:p>
      <w:pPr>
        <w:ind w:left="1280" w:hanging="322"/>
        <w:spacing w:after="0" w:line="259" w:lineRule="auto"/>
        <w:tabs>
          <w:tab w:leader="none" w:pos="1287" w:val="left"/>
        </w:tabs>
        <w:numPr>
          <w:ilvl w:val="1"/>
          <w:numId w:val="7"/>
        </w:numPr>
        <w:rPr>
          <w:rFonts w:ascii="Arial" w:cs="Arial" w:eastAsia="Arial" w:hAnsi="Arial"/>
          <w:sz w:val="18"/>
          <w:szCs w:val="18"/>
          <w:color w:val="auto"/>
        </w:rPr>
      </w:pPr>
      <w:r>
        <w:rPr>
          <w:rFonts w:ascii="Arial" w:cs="Arial" w:eastAsia="Arial" w:hAnsi="Arial"/>
          <w:sz w:val="18"/>
          <w:szCs w:val="18"/>
          <w:color w:val="auto"/>
        </w:rPr>
        <w:t>Voting and investment power over the shares held by HBM Healthcare Investments (Cayman) Ltd. is exercised by the board of directors of HBM Healthcare Investments (Cayman) Ltd. (the “Board”). The Board consists of Jean-Marc LeSieur, Richard H. Coles, Sophia Harris, Dr. Andreas Wicki, Mark Kronenfeld, M.D. and Richard Paul Woodhouse, none of whom has individual voting or investment power with respect to the shares.</w:t>
      </w:r>
    </w:p>
    <w:p>
      <w:pPr>
        <w:spacing w:after="0" w:line="186" w:lineRule="exact"/>
        <w:rPr>
          <w:rFonts w:ascii="Arial" w:cs="Arial" w:eastAsia="Arial" w:hAnsi="Arial"/>
          <w:sz w:val="18"/>
          <w:szCs w:val="18"/>
          <w:color w:val="auto"/>
        </w:rPr>
      </w:pPr>
    </w:p>
    <w:p>
      <w:pPr>
        <w:ind w:left="1320" w:right="320" w:hanging="373"/>
        <w:spacing w:after="0" w:line="277" w:lineRule="auto"/>
        <w:tabs>
          <w:tab w:leader="none" w:pos="1327"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56,889,111 shares of Common Stock outstanding as of November 9, 2020, as reported in the Issuer’s Quarterly Report on Form 10-Q, filed with the SEC on November 12, 2020.</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1532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p>
      <w:pPr>
        <w:sectPr>
          <w:pgSz w:w="11900" w:h="16838" w:orient="portrait"/>
          <w:cols w:equalWidth="0" w:num="1">
            <w:col w:w="11100"/>
          </w:cols>
          <w:pgMar w:left="380" w:top="391" w:right="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12,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HBM HEALTHCARE INVESTMENTS (CAYMAN) LTD.</w:t>
      </w:r>
    </w:p>
    <w:p>
      <w:pPr>
        <w:spacing w:after="0" w:line="200" w:lineRule="exact"/>
        <w:rPr>
          <w:sz w:val="20"/>
          <w:szCs w:val="20"/>
          <w:color w:val="auto"/>
        </w:rPr>
      </w:pPr>
    </w:p>
    <w:p>
      <w:pPr>
        <w:spacing w:after="0" w:line="245"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Jean-Marc LeSieur</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Jean-Marc LeSieur</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Managing 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SCHEDULE 13G (HARMONY BIOSCIENCES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1532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275" cy="298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o"/>
      <w:numFmt w:val="bullet"/>
      <w:start w:val="1"/>
    </w:lvl>
  </w:abstractNum>
  <w:abstractNum w:abstractNumId="1">
    <w:nsid w:val="46E87CCD"/>
    <w:multiLevelType w:val="hybridMultilevel"/>
    <w:lvl w:ilvl="0">
      <w:lvlJc w:val="left"/>
      <w:lvlText w:val="%1."/>
      <w:numFmt w:val="decimal"/>
      <w:start w:val="1"/>
    </w:lvl>
    <w:lvl w:ilvl="1">
      <w:lvlJc w:val="left"/>
      <w:lvlText w:val="(%2)"/>
      <w:numFmt w:val="lowerLetter"/>
      <w:start w:val="1"/>
    </w:lvl>
  </w:abstractNum>
  <w:abstractNum w:abstractNumId="2">
    <w:nsid w:val="3D1B58BA"/>
    <w:multiLevelType w:val="hybridMultilevel"/>
    <w:lvl w:ilvl="0">
      <w:lvlJc w:val="left"/>
      <w:lvlText w:val="%1."/>
      <w:numFmt w:val="decimal"/>
      <w:start w:val="9"/>
    </w:lvl>
    <w:lvl w:ilvl="1">
      <w:lvlJc w:val="left"/>
      <w:lvlText w:val="(%2)"/>
      <w:numFmt w:val="decimal"/>
      <w:start w:val="1"/>
    </w:lvl>
  </w:abstractNum>
  <w:abstractNum w:abstractNumId="3">
    <w:nsid w:val="507ED7AB"/>
    <w:multiLevelType w:val="hybridMultilevel"/>
    <w:lvl w:ilvl="0">
      <w:lvlJc w:val="left"/>
      <w:lvlText w:val="(%1)"/>
      <w:numFmt w:val="lowerRoman"/>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2021-02-12T15:19:21Z</dcterms:created>
  <dcterms:modified xsi:type="dcterms:W3CDTF">2021-02-12T15:19:21Z</dcterms:modified>
</cp:coreProperties>
</file>