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Harmony Biosciences Holdings,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$0.00001 par value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413197 104</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spacing w:after="0" w:line="1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CUSIP No. 413197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2322830" cy="240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2283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-198755</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2</w:t>
      </w:r>
      <w:r>
        <w:rPr>
          <w:rFonts w:ascii="Arial" w:cs="Arial" w:eastAsia="Arial" w:hAnsi="Arial"/>
          <w:sz w:val="15"/>
          <w:szCs w:val="15"/>
          <w:b w:val="1"/>
          <w:bCs w:val="1"/>
          <w:color w:val="auto"/>
        </w:rPr>
        <w:t xml:space="preserve"> of </w:t>
      </w:r>
      <w:r>
        <w:rPr>
          <w:rFonts w:ascii="Arial" w:cs="Arial" w:eastAsia="Arial" w:hAnsi="Arial"/>
          <w:sz w:val="15"/>
          <w:szCs w:val="15"/>
          <w:b w:val="1"/>
          <w:bCs w:val="1"/>
          <w:u w:val="single" w:color="auto"/>
          <w:color w:val="auto"/>
        </w:rPr>
        <w:t>12</w:t>
      </w:r>
      <w:r>
        <w:rPr>
          <w:rFonts w:ascii="Arial" w:cs="Arial" w:eastAsia="Arial" w:hAnsi="Arial"/>
          <w:sz w:val="15"/>
          <w:szCs w:val="15"/>
          <w:b w:val="1"/>
          <w:bCs w:val="1"/>
          <w:color w:val="auto"/>
        </w:rPr>
        <w:t xml:space="preserve">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-106045</wp:posOffset>
            </wp:positionV>
            <wp:extent cx="2314575" cy="240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14575"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680" w:space="720"/>
            <w:col w:w="2400" w:space="720"/>
            <w:col w:w="2500"/>
          </w:cols>
          <w:pgMar w:left="440" w:top="270" w:right="439" w:bottom="1440" w:gutter="0" w:footer="0" w:header="0"/>
        </w:sectPr>
      </w:pPr>
    </w:p>
    <w:p>
      <w:pPr>
        <w:spacing w:after="0" w:line="143" w:lineRule="exact"/>
        <w:rPr>
          <w:sz w:val="20"/>
          <w:szCs w:val="20"/>
          <w:color w:val="auto"/>
        </w:rPr>
      </w:pPr>
    </w:p>
    <w:p>
      <w:pPr>
        <w:ind w:left="240"/>
        <w:spacing w:after="0"/>
        <w:tabs>
          <w:tab w:leader="none" w:pos="68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003415" cy="55460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3415" cy="55460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b w:val="1"/>
                <w:bCs w:val="1"/>
                <w:color w:val="auto"/>
              </w:rPr>
              <w:t>Valor IV Pharma Holdings, LLC</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b w:val="1"/>
                <w:bCs w:val="1"/>
                <w:color w:val="auto"/>
              </w:rPr>
              <w:t>2.</w:t>
            </w:r>
          </w:p>
        </w:tc>
        <w:tc>
          <w:tcPr>
            <w:tcW w:w="200" w:type="dxa"/>
            <w:vAlign w:val="bottom"/>
          </w:tcPr>
          <w:p>
            <w:pPr>
              <w:spacing w:after="0"/>
              <w:rPr>
                <w:sz w:val="14"/>
                <w:szCs w:val="14"/>
                <w:color w:val="auto"/>
              </w:rPr>
            </w:pPr>
          </w:p>
        </w:tc>
        <w:tc>
          <w:tcPr>
            <w:tcW w:w="10420" w:type="dxa"/>
            <w:vAlign w:val="bottom"/>
            <w:gridSpan w:val="3"/>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580" w:type="dxa"/>
            <w:vAlign w:val="bottom"/>
            <w:gridSpan w:val="2"/>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2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0" w:type="dxa"/>
            <w:vAlign w:val="bottom"/>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00" w:type="dxa"/>
            <w:vAlign w:val="bottom"/>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79"/>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b w:val="1"/>
                <w:bCs w:val="1"/>
                <w:color w:val="auto"/>
              </w:rPr>
              <w:t>Delaware</w:t>
            </w: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5.</w:t>
            </w:r>
          </w:p>
        </w:tc>
        <w:tc>
          <w:tcPr>
            <w:tcW w:w="92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79"/>
        </w:trPr>
        <w:tc>
          <w:tcPr>
            <w:tcW w:w="144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48"/>
        </w:trPr>
        <w:tc>
          <w:tcPr>
            <w:tcW w:w="1440" w:type="dxa"/>
            <w:vAlign w:val="bottom"/>
            <w:tcBorders>
              <w:right w:val="single" w:sz="8" w:color="auto"/>
            </w:tcBorders>
            <w:gridSpan w:val="3"/>
            <w:vMerge w:val="continue"/>
          </w:tcPr>
          <w:p>
            <w:pPr>
              <w:spacing w:after="0"/>
              <w:rPr>
                <w:sz w:val="4"/>
                <w:szCs w:val="4"/>
                <w:color w:val="auto"/>
              </w:rPr>
            </w:pPr>
          </w:p>
        </w:tc>
        <w:tc>
          <w:tcPr>
            <w:tcW w:w="3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6.</w:t>
            </w:r>
          </w:p>
        </w:tc>
        <w:tc>
          <w:tcPr>
            <w:tcW w:w="924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1040" w:type="dxa"/>
            <w:vAlign w:val="bottom"/>
            <w:tcBorders>
              <w:right w:val="single" w:sz="8" w:color="auto"/>
            </w:tcBorders>
            <w:gridSpan w:val="2"/>
            <w:vMerge w:val="restart"/>
          </w:tcPr>
          <w:p>
            <w:pPr>
              <w:jc w:val="center"/>
              <w:ind w:right="183"/>
              <w:spacing w:after="0"/>
              <w:rPr>
                <w:sz w:val="20"/>
                <w:szCs w:val="20"/>
                <w:color w:val="auto"/>
              </w:rPr>
            </w:pPr>
            <w:r>
              <w:rPr>
                <w:rFonts w:ascii="Arial" w:cs="Arial" w:eastAsia="Arial" w:hAnsi="Arial"/>
                <w:sz w:val="18"/>
                <w:szCs w:val="18"/>
                <w:color w:val="auto"/>
                <w:w w:val="91"/>
              </w:rPr>
              <w:t>SHARES</w:t>
            </w:r>
          </w:p>
        </w:tc>
        <w:tc>
          <w:tcPr>
            <w:tcW w:w="340" w:type="dxa"/>
            <w:vAlign w:val="bottom"/>
            <w:tcBorders>
              <w:right w:val="single" w:sz="8" w:color="auto"/>
            </w:tcBorders>
            <w:vMerge w:val="continue"/>
          </w:tcPr>
          <w:p>
            <w:pPr>
              <w:spacing w:after="0"/>
              <w:rPr>
                <w:sz w:val="15"/>
                <w:szCs w:val="15"/>
                <w:color w:val="auto"/>
              </w:rPr>
            </w:pPr>
          </w:p>
        </w:tc>
        <w:tc>
          <w:tcPr>
            <w:tcW w:w="9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1040" w:type="dxa"/>
            <w:vAlign w:val="bottom"/>
            <w:tcBorders>
              <w:right w:val="single" w:sz="8" w:color="auto"/>
            </w:tcBorders>
            <w:gridSpan w:val="2"/>
            <w:vMerge w:val="continue"/>
          </w:tcPr>
          <w:p>
            <w:pPr>
              <w:spacing w:after="0"/>
              <w:rPr>
                <w:sz w:val="3"/>
                <w:szCs w:val="3"/>
                <w:color w:val="auto"/>
              </w:rPr>
            </w:pPr>
          </w:p>
        </w:tc>
        <w:tc>
          <w:tcPr>
            <w:tcW w:w="340" w:type="dxa"/>
            <w:vAlign w:val="bottom"/>
            <w:tcBorders>
              <w:right w:val="single" w:sz="8" w:color="auto"/>
            </w:tcBorders>
          </w:tcPr>
          <w:p>
            <w:pPr>
              <w:spacing w:after="0"/>
              <w:rPr>
                <w:sz w:val="3"/>
                <w:szCs w:val="3"/>
                <w:color w:val="auto"/>
              </w:rPr>
            </w:pPr>
          </w:p>
        </w:tc>
        <w:tc>
          <w:tcPr>
            <w:tcW w:w="9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9240" w:type="dxa"/>
            <w:vAlign w:val="bottom"/>
            <w:vMerge w:val="restart"/>
          </w:tcPr>
          <w:p>
            <w:pPr>
              <w:ind w:left="100"/>
              <w:spacing w:after="0"/>
              <w:rPr>
                <w:sz w:val="20"/>
                <w:szCs w:val="20"/>
                <w:color w:val="auto"/>
              </w:rPr>
            </w:pPr>
            <w:r>
              <w:rPr>
                <w:rFonts w:ascii="Arial" w:cs="Arial" w:eastAsia="Arial" w:hAnsi="Arial"/>
                <w:sz w:val="22"/>
                <w:szCs w:val="22"/>
                <w:b w:val="1"/>
                <w:bCs w:val="1"/>
                <w:color w:val="auto"/>
              </w:rPr>
              <w:t>11,218,033</w:t>
            </w:r>
          </w:p>
        </w:tc>
        <w:tc>
          <w:tcPr>
            <w:tcW w:w="0" w:type="dxa"/>
            <w:vAlign w:val="bottom"/>
          </w:tcPr>
          <w:p>
            <w:pPr>
              <w:spacing w:after="0"/>
              <w:rPr>
                <w:sz w:val="1"/>
                <w:szCs w:val="1"/>
                <w:color w:val="auto"/>
              </w:rPr>
            </w:pPr>
          </w:p>
        </w:tc>
      </w:tr>
      <w:tr>
        <w:trPr>
          <w:trHeight w:val="230"/>
        </w:trPr>
        <w:tc>
          <w:tcPr>
            <w:tcW w:w="144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340" w:type="dxa"/>
            <w:vAlign w:val="bottom"/>
            <w:tcBorders>
              <w:bottom w:val="single" w:sz="8" w:color="auto"/>
              <w:right w:val="single" w:sz="8" w:color="auto"/>
            </w:tcBorders>
          </w:tcPr>
          <w:p>
            <w:pPr>
              <w:spacing w:after="0"/>
              <w:rPr>
                <w:sz w:val="20"/>
                <w:szCs w:val="20"/>
                <w:color w:val="auto"/>
              </w:rPr>
            </w:pPr>
          </w:p>
        </w:tc>
        <w:tc>
          <w:tcPr>
            <w:tcW w:w="92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83"/>
              <w:spacing w:after="0" w:line="182" w:lineRule="exact"/>
              <w:rPr>
                <w:sz w:val="20"/>
                <w:szCs w:val="20"/>
                <w:color w:val="auto"/>
              </w:rPr>
            </w:pPr>
            <w:r>
              <w:rPr>
                <w:rFonts w:ascii="Arial" w:cs="Arial" w:eastAsia="Arial" w:hAnsi="Arial"/>
                <w:sz w:val="18"/>
                <w:szCs w:val="18"/>
                <w:color w:val="auto"/>
                <w:w w:val="95"/>
              </w:rPr>
              <w:t>EACH</w:t>
            </w:r>
          </w:p>
        </w:tc>
        <w:tc>
          <w:tcPr>
            <w:tcW w:w="34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18"/>
                <w:szCs w:val="18"/>
                <w:b w:val="1"/>
                <w:bCs w:val="1"/>
                <w:color w:val="auto"/>
              </w:rPr>
              <w:t>7.</w:t>
            </w:r>
          </w:p>
        </w:tc>
        <w:tc>
          <w:tcPr>
            <w:tcW w:w="924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REPORTING</w:t>
            </w:r>
          </w:p>
        </w:tc>
        <w:tc>
          <w:tcPr>
            <w:tcW w:w="340" w:type="dxa"/>
            <w:vAlign w:val="bottom"/>
            <w:tcBorders>
              <w:right w:val="single" w:sz="8" w:color="auto"/>
            </w:tcBorders>
          </w:tcPr>
          <w:p>
            <w:pPr>
              <w:spacing w:after="0"/>
              <w:rPr>
                <w:sz w:val="18"/>
                <w:szCs w:val="18"/>
                <w:color w:val="auto"/>
              </w:rPr>
            </w:pPr>
          </w:p>
        </w:tc>
        <w:tc>
          <w:tcPr>
            <w:tcW w:w="9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1040" w:type="dxa"/>
            <w:vAlign w:val="bottom"/>
            <w:tcBorders>
              <w:right w:val="single" w:sz="8" w:color="auto"/>
            </w:tcBorders>
            <w:gridSpan w:val="2"/>
          </w:tcPr>
          <w:p>
            <w:pPr>
              <w:jc w:val="center"/>
              <w:ind w:right="183"/>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20"/>
                <w:szCs w:val="20"/>
                <w:color w:val="auto"/>
              </w:rPr>
            </w:pPr>
          </w:p>
        </w:tc>
        <w:tc>
          <w:tcPr>
            <w:tcW w:w="9240" w:type="dxa"/>
            <w:vAlign w:val="bottom"/>
          </w:tcPr>
          <w:p>
            <w:pPr>
              <w:ind w:left="100"/>
              <w:spacing w:after="0" w:line="232"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1040" w:type="dxa"/>
            <w:vAlign w:val="bottom"/>
            <w:tcBorders>
              <w:right w:val="single" w:sz="8" w:color="auto"/>
            </w:tcBorders>
            <w:gridSpan w:val="2"/>
            <w:vMerge w:val="restart"/>
          </w:tcPr>
          <w:p>
            <w:pPr>
              <w:jc w:val="center"/>
              <w:ind w:right="183"/>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6"/>
                <w:szCs w:val="6"/>
                <w:color w:val="auto"/>
              </w:rPr>
            </w:pPr>
          </w:p>
        </w:tc>
        <w:tc>
          <w:tcPr>
            <w:tcW w:w="9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1040" w:type="dxa"/>
            <w:vAlign w:val="bottom"/>
            <w:tcBorders>
              <w:right w:val="single" w:sz="8" w:color="auto"/>
            </w:tcBorders>
            <w:gridSpan w:val="2"/>
            <w:vMerge w:val="continue"/>
          </w:tcPr>
          <w:p>
            <w:pPr>
              <w:spacing w:after="0"/>
              <w:rPr>
                <w:sz w:val="11"/>
                <w:szCs w:val="11"/>
                <w:color w:val="auto"/>
              </w:rPr>
            </w:pPr>
          </w:p>
        </w:tc>
        <w:tc>
          <w:tcPr>
            <w:tcW w:w="3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8.</w:t>
            </w:r>
          </w:p>
        </w:tc>
        <w:tc>
          <w:tcPr>
            <w:tcW w:w="92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7"/>
        </w:trPr>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340" w:type="dxa"/>
            <w:vAlign w:val="bottom"/>
            <w:tcBorders>
              <w:right w:val="single" w:sz="8" w:color="auto"/>
            </w:tcBorders>
            <w:vMerge w:val="continue"/>
          </w:tcPr>
          <w:p>
            <w:pPr>
              <w:spacing w:after="0"/>
              <w:rPr>
                <w:sz w:val="8"/>
                <w:szCs w:val="8"/>
                <w:color w:val="auto"/>
              </w:rPr>
            </w:pPr>
          </w:p>
        </w:tc>
        <w:tc>
          <w:tcPr>
            <w:tcW w:w="9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9"/>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11,218,033</w:t>
            </w:r>
          </w:p>
        </w:tc>
        <w:tc>
          <w:tcPr>
            <w:tcW w:w="0" w:type="dxa"/>
            <w:vAlign w:val="bottom"/>
          </w:tcPr>
          <w:p>
            <w:pPr>
              <w:spacing w:after="0"/>
              <w:rPr>
                <w:sz w:val="1"/>
                <w:szCs w:val="1"/>
                <w:color w:val="auto"/>
              </w:rPr>
            </w:pPr>
          </w:p>
        </w:tc>
      </w:tr>
      <w:tr>
        <w:trPr>
          <w:trHeight w:val="230"/>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00" w:type="dxa"/>
            <w:vAlign w:val="bottom"/>
            <w:tcBorders>
              <w:right w:val="single" w:sz="8" w:color="auto"/>
            </w:tcBorders>
          </w:tcPr>
          <w:p>
            <w:pPr>
              <w:spacing w:after="0"/>
              <w:rPr>
                <w:sz w:val="19"/>
                <w:szCs w:val="19"/>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w w:val="91"/>
              </w:rPr>
              <w:t>AGGREGATE</w:t>
            </w:r>
          </w:p>
        </w:tc>
        <w:tc>
          <w:tcPr>
            <w:tcW w:w="9240" w:type="dxa"/>
            <w:vAlign w:val="bottom"/>
          </w:tcPr>
          <w:p>
            <w:pPr>
              <w:ind w:left="4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79"/>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b w:val="1"/>
                <w:bCs w:val="1"/>
                <w:color w:val="auto"/>
                <w:w w:val="94"/>
              </w:rPr>
              <w:t>11,218,033</w:t>
            </w: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00" w:type="dxa"/>
            <w:vAlign w:val="bottom"/>
            <w:tcBorders>
              <w:right w:val="single" w:sz="8" w:color="auto"/>
            </w:tcBorders>
          </w:tcPr>
          <w:p>
            <w:pPr>
              <w:spacing w:after="0"/>
              <w:rPr>
                <w:sz w:val="24"/>
                <w:szCs w:val="24"/>
                <w:color w:val="auto"/>
              </w:rPr>
            </w:pPr>
          </w:p>
        </w:tc>
        <w:tc>
          <w:tcPr>
            <w:tcW w:w="1042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3"/>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200" w:type="dxa"/>
            <w:vAlign w:val="bottom"/>
            <w:tcBorders>
              <w:right w:val="single" w:sz="8" w:color="auto"/>
            </w:tcBorders>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79"/>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19.7%</w:t>
            </w: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00" w:type="dxa"/>
            <w:vAlign w:val="bottom"/>
            <w:tcBorders>
              <w:right w:val="single" w:sz="8" w:color="auto"/>
            </w:tcBorders>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79"/>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OO</w:t>
            </w: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type w:val="continuous"/>
        </w:sectPr>
      </w:pPr>
    </w:p>
    <w:bookmarkStart w:id="2" w:name="page3"/>
    <w:bookmarkEnd w:id="2"/>
    <w:p>
      <w:pPr>
        <w:spacing w:after="0" w:line="1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CUSIP No. 413197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2322830"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2283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-198755</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3</w:t>
      </w:r>
      <w:r>
        <w:rPr>
          <w:rFonts w:ascii="Arial" w:cs="Arial" w:eastAsia="Arial" w:hAnsi="Arial"/>
          <w:sz w:val="15"/>
          <w:szCs w:val="15"/>
          <w:b w:val="1"/>
          <w:bCs w:val="1"/>
          <w:color w:val="auto"/>
        </w:rPr>
        <w:t xml:space="preserve"> of </w:t>
      </w:r>
      <w:r>
        <w:rPr>
          <w:rFonts w:ascii="Arial" w:cs="Arial" w:eastAsia="Arial" w:hAnsi="Arial"/>
          <w:sz w:val="15"/>
          <w:szCs w:val="15"/>
          <w:b w:val="1"/>
          <w:bCs w:val="1"/>
          <w:u w:val="single" w:color="auto"/>
          <w:color w:val="auto"/>
        </w:rPr>
        <w:t>12</w:t>
      </w:r>
      <w:r>
        <w:rPr>
          <w:rFonts w:ascii="Arial" w:cs="Arial" w:eastAsia="Arial" w:hAnsi="Arial"/>
          <w:sz w:val="15"/>
          <w:szCs w:val="15"/>
          <w:b w:val="1"/>
          <w:bCs w:val="1"/>
          <w:color w:val="auto"/>
        </w:rPr>
        <w:t xml:space="preserve">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-106045</wp:posOffset>
            </wp:positionV>
            <wp:extent cx="2314575" cy="240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14575"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680" w:space="720"/>
            <w:col w:w="2400" w:space="720"/>
            <w:col w:w="2500"/>
          </w:cols>
          <w:pgMar w:left="440" w:top="270" w:right="439" w:bottom="1440" w:gutter="0" w:footer="0" w:header="0"/>
        </w:sectPr>
      </w:pPr>
    </w:p>
    <w:p>
      <w:pPr>
        <w:spacing w:after="0" w:line="143" w:lineRule="exact"/>
        <w:rPr>
          <w:sz w:val="20"/>
          <w:szCs w:val="20"/>
          <w:color w:val="auto"/>
        </w:rPr>
      </w:pPr>
    </w:p>
    <w:p>
      <w:pPr>
        <w:ind w:left="240"/>
        <w:spacing w:after="0"/>
        <w:tabs>
          <w:tab w:leader="none" w:pos="68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003415" cy="5854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3415" cy="5854700"/>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20" w:type="dxa"/>
            <w:vAlign w:val="bottom"/>
            <w:gridSpan w:val="3"/>
          </w:tcPr>
          <w:p>
            <w:pPr>
              <w:ind w:left="100"/>
              <w:spacing w:after="0"/>
              <w:rPr>
                <w:sz w:val="20"/>
                <w:szCs w:val="20"/>
                <w:color w:val="auto"/>
              </w:rPr>
            </w:pPr>
            <w:r>
              <w:rPr>
                <w:rFonts w:ascii="Arial" w:cs="Arial" w:eastAsia="Arial" w:hAnsi="Arial"/>
                <w:sz w:val="22"/>
                <w:szCs w:val="22"/>
                <w:b w:val="1"/>
                <w:bCs w:val="1"/>
                <w:color w:val="auto"/>
              </w:rPr>
              <w:t>Valor Equity Partners IV L.P.</w:t>
            </w: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20" w:type="dxa"/>
            <w:vAlign w:val="bottom"/>
            <w:gridSpan w:val="3"/>
          </w:tcPr>
          <w:p>
            <w:pPr>
              <w:ind w:left="100"/>
              <w:spacing w:after="0" w:line="243" w:lineRule="exact"/>
              <w:rPr>
                <w:sz w:val="20"/>
                <w:szCs w:val="20"/>
                <w:color w:val="auto"/>
              </w:rPr>
            </w:pPr>
            <w:r>
              <w:rPr>
                <w:rFonts w:ascii="Arial" w:cs="Arial" w:eastAsia="Arial" w:hAnsi="Arial"/>
                <w:sz w:val="22"/>
                <w:szCs w:val="22"/>
                <w:b w:val="1"/>
                <w:bCs w:val="1"/>
                <w:color w:val="auto"/>
              </w:rPr>
              <w:t>Valor Equity Partners IV-A L.P.</w:t>
            </w:r>
          </w:p>
        </w:tc>
        <w:tc>
          <w:tcPr>
            <w:tcW w:w="0" w:type="dxa"/>
            <w:vAlign w:val="bottom"/>
          </w:tcPr>
          <w:p>
            <w:pPr>
              <w:spacing w:after="0"/>
              <w:rPr>
                <w:sz w:val="1"/>
                <w:szCs w:val="1"/>
                <w:color w:val="auto"/>
              </w:rPr>
            </w:pPr>
          </w:p>
        </w:tc>
      </w:tr>
      <w:tr>
        <w:trPr>
          <w:trHeight w:val="282"/>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b w:val="1"/>
                <w:bCs w:val="1"/>
                <w:color w:val="auto"/>
              </w:rPr>
              <w:t>Valor Equity Partners IV-B L.P.</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b w:val="1"/>
                <w:bCs w:val="1"/>
                <w:color w:val="auto"/>
              </w:rPr>
              <w:t>2.</w:t>
            </w:r>
          </w:p>
        </w:tc>
        <w:tc>
          <w:tcPr>
            <w:tcW w:w="200" w:type="dxa"/>
            <w:vAlign w:val="bottom"/>
          </w:tcPr>
          <w:p>
            <w:pPr>
              <w:spacing w:after="0"/>
              <w:rPr>
                <w:sz w:val="14"/>
                <w:szCs w:val="14"/>
                <w:color w:val="auto"/>
              </w:rPr>
            </w:pPr>
          </w:p>
        </w:tc>
        <w:tc>
          <w:tcPr>
            <w:tcW w:w="10420" w:type="dxa"/>
            <w:vAlign w:val="bottom"/>
            <w:gridSpan w:val="3"/>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580" w:type="dxa"/>
            <w:vAlign w:val="bottom"/>
            <w:gridSpan w:val="2"/>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2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0" w:type="dxa"/>
            <w:vAlign w:val="bottom"/>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00" w:type="dxa"/>
            <w:vAlign w:val="bottom"/>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79"/>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b w:val="1"/>
                <w:bCs w:val="1"/>
                <w:color w:val="auto"/>
              </w:rPr>
              <w:t>Delaware</w:t>
            </w: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5.</w:t>
            </w:r>
          </w:p>
        </w:tc>
        <w:tc>
          <w:tcPr>
            <w:tcW w:w="92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79"/>
        </w:trPr>
        <w:tc>
          <w:tcPr>
            <w:tcW w:w="144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48"/>
        </w:trPr>
        <w:tc>
          <w:tcPr>
            <w:tcW w:w="1440" w:type="dxa"/>
            <w:vAlign w:val="bottom"/>
            <w:tcBorders>
              <w:right w:val="single" w:sz="8" w:color="auto"/>
            </w:tcBorders>
            <w:gridSpan w:val="3"/>
            <w:vMerge w:val="continue"/>
          </w:tcPr>
          <w:p>
            <w:pPr>
              <w:spacing w:after="0"/>
              <w:rPr>
                <w:sz w:val="4"/>
                <w:szCs w:val="4"/>
                <w:color w:val="auto"/>
              </w:rPr>
            </w:pPr>
          </w:p>
        </w:tc>
        <w:tc>
          <w:tcPr>
            <w:tcW w:w="3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6.</w:t>
            </w:r>
          </w:p>
        </w:tc>
        <w:tc>
          <w:tcPr>
            <w:tcW w:w="924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1040" w:type="dxa"/>
            <w:vAlign w:val="bottom"/>
            <w:tcBorders>
              <w:right w:val="single" w:sz="8" w:color="auto"/>
            </w:tcBorders>
            <w:gridSpan w:val="2"/>
            <w:vMerge w:val="restart"/>
          </w:tcPr>
          <w:p>
            <w:pPr>
              <w:jc w:val="center"/>
              <w:ind w:right="182"/>
              <w:spacing w:after="0"/>
              <w:rPr>
                <w:sz w:val="20"/>
                <w:szCs w:val="20"/>
                <w:color w:val="auto"/>
              </w:rPr>
            </w:pPr>
            <w:r>
              <w:rPr>
                <w:rFonts w:ascii="Arial" w:cs="Arial" w:eastAsia="Arial" w:hAnsi="Arial"/>
                <w:sz w:val="18"/>
                <w:szCs w:val="18"/>
                <w:color w:val="auto"/>
                <w:w w:val="91"/>
              </w:rPr>
              <w:t>SHARES</w:t>
            </w:r>
          </w:p>
        </w:tc>
        <w:tc>
          <w:tcPr>
            <w:tcW w:w="340" w:type="dxa"/>
            <w:vAlign w:val="bottom"/>
            <w:tcBorders>
              <w:right w:val="single" w:sz="8" w:color="auto"/>
            </w:tcBorders>
            <w:vMerge w:val="continue"/>
          </w:tcPr>
          <w:p>
            <w:pPr>
              <w:spacing w:after="0"/>
              <w:rPr>
                <w:sz w:val="15"/>
                <w:szCs w:val="15"/>
                <w:color w:val="auto"/>
              </w:rPr>
            </w:pPr>
          </w:p>
        </w:tc>
        <w:tc>
          <w:tcPr>
            <w:tcW w:w="9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1040" w:type="dxa"/>
            <w:vAlign w:val="bottom"/>
            <w:tcBorders>
              <w:right w:val="single" w:sz="8" w:color="auto"/>
            </w:tcBorders>
            <w:gridSpan w:val="2"/>
            <w:vMerge w:val="continue"/>
          </w:tcPr>
          <w:p>
            <w:pPr>
              <w:spacing w:after="0"/>
              <w:rPr>
                <w:sz w:val="3"/>
                <w:szCs w:val="3"/>
                <w:color w:val="auto"/>
              </w:rPr>
            </w:pPr>
          </w:p>
        </w:tc>
        <w:tc>
          <w:tcPr>
            <w:tcW w:w="340" w:type="dxa"/>
            <w:vAlign w:val="bottom"/>
            <w:tcBorders>
              <w:right w:val="single" w:sz="8" w:color="auto"/>
            </w:tcBorders>
          </w:tcPr>
          <w:p>
            <w:pPr>
              <w:spacing w:after="0"/>
              <w:rPr>
                <w:sz w:val="3"/>
                <w:szCs w:val="3"/>
                <w:color w:val="auto"/>
              </w:rPr>
            </w:pPr>
          </w:p>
        </w:tc>
        <w:tc>
          <w:tcPr>
            <w:tcW w:w="9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9240" w:type="dxa"/>
            <w:vAlign w:val="bottom"/>
            <w:vMerge w:val="restart"/>
          </w:tcPr>
          <w:p>
            <w:pPr>
              <w:ind w:left="100"/>
              <w:spacing w:after="0"/>
              <w:rPr>
                <w:sz w:val="20"/>
                <w:szCs w:val="20"/>
                <w:color w:val="auto"/>
              </w:rPr>
            </w:pPr>
            <w:r>
              <w:rPr>
                <w:rFonts w:ascii="Arial" w:cs="Arial" w:eastAsia="Arial" w:hAnsi="Arial"/>
                <w:sz w:val="22"/>
                <w:szCs w:val="22"/>
                <w:b w:val="1"/>
                <w:bCs w:val="1"/>
                <w:color w:val="auto"/>
              </w:rPr>
              <w:t>11,218,033</w:t>
            </w:r>
          </w:p>
        </w:tc>
        <w:tc>
          <w:tcPr>
            <w:tcW w:w="0" w:type="dxa"/>
            <w:vAlign w:val="bottom"/>
          </w:tcPr>
          <w:p>
            <w:pPr>
              <w:spacing w:after="0"/>
              <w:rPr>
                <w:sz w:val="1"/>
                <w:szCs w:val="1"/>
                <w:color w:val="auto"/>
              </w:rPr>
            </w:pPr>
          </w:p>
        </w:tc>
      </w:tr>
      <w:tr>
        <w:trPr>
          <w:trHeight w:val="230"/>
        </w:trPr>
        <w:tc>
          <w:tcPr>
            <w:tcW w:w="144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340" w:type="dxa"/>
            <w:vAlign w:val="bottom"/>
            <w:tcBorders>
              <w:bottom w:val="single" w:sz="8" w:color="auto"/>
              <w:right w:val="single" w:sz="8" w:color="auto"/>
            </w:tcBorders>
          </w:tcPr>
          <w:p>
            <w:pPr>
              <w:spacing w:after="0"/>
              <w:rPr>
                <w:sz w:val="20"/>
                <w:szCs w:val="20"/>
                <w:color w:val="auto"/>
              </w:rPr>
            </w:pPr>
          </w:p>
        </w:tc>
        <w:tc>
          <w:tcPr>
            <w:tcW w:w="92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82"/>
              <w:spacing w:after="0" w:line="182" w:lineRule="exact"/>
              <w:rPr>
                <w:sz w:val="20"/>
                <w:szCs w:val="20"/>
                <w:color w:val="auto"/>
              </w:rPr>
            </w:pPr>
            <w:r>
              <w:rPr>
                <w:rFonts w:ascii="Arial" w:cs="Arial" w:eastAsia="Arial" w:hAnsi="Arial"/>
                <w:sz w:val="18"/>
                <w:szCs w:val="18"/>
                <w:color w:val="auto"/>
                <w:w w:val="95"/>
              </w:rPr>
              <w:t>EACH</w:t>
            </w:r>
          </w:p>
        </w:tc>
        <w:tc>
          <w:tcPr>
            <w:tcW w:w="34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18"/>
                <w:szCs w:val="18"/>
                <w:b w:val="1"/>
                <w:bCs w:val="1"/>
                <w:color w:val="auto"/>
              </w:rPr>
              <w:t>7.</w:t>
            </w:r>
          </w:p>
        </w:tc>
        <w:tc>
          <w:tcPr>
            <w:tcW w:w="924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REPORTING</w:t>
            </w:r>
          </w:p>
        </w:tc>
        <w:tc>
          <w:tcPr>
            <w:tcW w:w="340" w:type="dxa"/>
            <w:vAlign w:val="bottom"/>
            <w:tcBorders>
              <w:right w:val="single" w:sz="8" w:color="auto"/>
            </w:tcBorders>
          </w:tcPr>
          <w:p>
            <w:pPr>
              <w:spacing w:after="0"/>
              <w:rPr>
                <w:sz w:val="18"/>
                <w:szCs w:val="18"/>
                <w:color w:val="auto"/>
              </w:rPr>
            </w:pPr>
          </w:p>
        </w:tc>
        <w:tc>
          <w:tcPr>
            <w:tcW w:w="9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1040" w:type="dxa"/>
            <w:vAlign w:val="bottom"/>
            <w:tcBorders>
              <w:right w:val="single" w:sz="8" w:color="auto"/>
            </w:tcBorders>
            <w:gridSpan w:val="2"/>
          </w:tcPr>
          <w:p>
            <w:pPr>
              <w:jc w:val="center"/>
              <w:ind w:right="182"/>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20"/>
                <w:szCs w:val="20"/>
                <w:color w:val="auto"/>
              </w:rPr>
            </w:pPr>
          </w:p>
        </w:tc>
        <w:tc>
          <w:tcPr>
            <w:tcW w:w="9240" w:type="dxa"/>
            <w:vAlign w:val="bottom"/>
          </w:tcPr>
          <w:p>
            <w:pPr>
              <w:ind w:left="100"/>
              <w:spacing w:after="0" w:line="232"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1040" w:type="dxa"/>
            <w:vAlign w:val="bottom"/>
            <w:tcBorders>
              <w:right w:val="single" w:sz="8" w:color="auto"/>
            </w:tcBorders>
            <w:gridSpan w:val="2"/>
            <w:vMerge w:val="restart"/>
          </w:tcPr>
          <w:p>
            <w:pPr>
              <w:jc w:val="center"/>
              <w:ind w:right="182"/>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6"/>
                <w:szCs w:val="6"/>
                <w:color w:val="auto"/>
              </w:rPr>
            </w:pPr>
          </w:p>
        </w:tc>
        <w:tc>
          <w:tcPr>
            <w:tcW w:w="9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1040" w:type="dxa"/>
            <w:vAlign w:val="bottom"/>
            <w:tcBorders>
              <w:right w:val="single" w:sz="8" w:color="auto"/>
            </w:tcBorders>
            <w:gridSpan w:val="2"/>
            <w:vMerge w:val="continue"/>
          </w:tcPr>
          <w:p>
            <w:pPr>
              <w:spacing w:after="0"/>
              <w:rPr>
                <w:sz w:val="11"/>
                <w:szCs w:val="11"/>
                <w:color w:val="auto"/>
              </w:rPr>
            </w:pPr>
          </w:p>
        </w:tc>
        <w:tc>
          <w:tcPr>
            <w:tcW w:w="3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8.</w:t>
            </w:r>
          </w:p>
        </w:tc>
        <w:tc>
          <w:tcPr>
            <w:tcW w:w="92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7"/>
        </w:trPr>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340" w:type="dxa"/>
            <w:vAlign w:val="bottom"/>
            <w:tcBorders>
              <w:right w:val="single" w:sz="8" w:color="auto"/>
            </w:tcBorders>
            <w:vMerge w:val="continue"/>
          </w:tcPr>
          <w:p>
            <w:pPr>
              <w:spacing w:after="0"/>
              <w:rPr>
                <w:sz w:val="8"/>
                <w:szCs w:val="8"/>
                <w:color w:val="auto"/>
              </w:rPr>
            </w:pPr>
          </w:p>
        </w:tc>
        <w:tc>
          <w:tcPr>
            <w:tcW w:w="9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9"/>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11,218,033</w:t>
            </w:r>
          </w:p>
        </w:tc>
        <w:tc>
          <w:tcPr>
            <w:tcW w:w="0" w:type="dxa"/>
            <w:vAlign w:val="bottom"/>
          </w:tcPr>
          <w:p>
            <w:pPr>
              <w:spacing w:after="0"/>
              <w:rPr>
                <w:sz w:val="1"/>
                <w:szCs w:val="1"/>
                <w:color w:val="auto"/>
              </w:rPr>
            </w:pPr>
          </w:p>
        </w:tc>
      </w:tr>
      <w:tr>
        <w:trPr>
          <w:trHeight w:val="230"/>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00" w:type="dxa"/>
            <w:vAlign w:val="bottom"/>
            <w:tcBorders>
              <w:right w:val="single" w:sz="8" w:color="auto"/>
            </w:tcBorders>
          </w:tcPr>
          <w:p>
            <w:pPr>
              <w:spacing w:after="0"/>
              <w:rPr>
                <w:sz w:val="19"/>
                <w:szCs w:val="19"/>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w w:val="91"/>
              </w:rPr>
              <w:t>AGGREGATE</w:t>
            </w:r>
          </w:p>
        </w:tc>
        <w:tc>
          <w:tcPr>
            <w:tcW w:w="9240" w:type="dxa"/>
            <w:vAlign w:val="bottom"/>
          </w:tcPr>
          <w:p>
            <w:pPr>
              <w:ind w:left="4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79"/>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b w:val="1"/>
                <w:bCs w:val="1"/>
                <w:color w:val="auto"/>
                <w:w w:val="94"/>
              </w:rPr>
              <w:t>11,218,033</w:t>
            </w: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00" w:type="dxa"/>
            <w:vAlign w:val="bottom"/>
            <w:tcBorders>
              <w:right w:val="single" w:sz="8" w:color="auto"/>
            </w:tcBorders>
          </w:tcPr>
          <w:p>
            <w:pPr>
              <w:spacing w:after="0"/>
              <w:rPr>
                <w:sz w:val="24"/>
                <w:szCs w:val="24"/>
                <w:color w:val="auto"/>
              </w:rPr>
            </w:pPr>
          </w:p>
        </w:tc>
        <w:tc>
          <w:tcPr>
            <w:tcW w:w="1042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3"/>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200" w:type="dxa"/>
            <w:vAlign w:val="bottom"/>
            <w:tcBorders>
              <w:right w:val="single" w:sz="8" w:color="auto"/>
            </w:tcBorders>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79"/>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19.7%</w:t>
            </w: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00" w:type="dxa"/>
            <w:vAlign w:val="bottom"/>
            <w:tcBorders>
              <w:right w:val="single" w:sz="8" w:color="auto"/>
            </w:tcBorders>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79"/>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PN</w:t>
            </w: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type w:val="continuous"/>
        </w:sectPr>
      </w:pPr>
    </w:p>
    <w:bookmarkStart w:id="3" w:name="page4"/>
    <w:bookmarkEnd w:id="3"/>
    <w:p>
      <w:pPr>
        <w:spacing w:after="0" w:line="1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CUSIP No. 413197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2322830" cy="240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2283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-198755</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4</w:t>
      </w:r>
      <w:r>
        <w:rPr>
          <w:rFonts w:ascii="Arial" w:cs="Arial" w:eastAsia="Arial" w:hAnsi="Arial"/>
          <w:sz w:val="15"/>
          <w:szCs w:val="15"/>
          <w:b w:val="1"/>
          <w:bCs w:val="1"/>
          <w:color w:val="auto"/>
        </w:rPr>
        <w:t xml:space="preserve"> of </w:t>
      </w:r>
      <w:r>
        <w:rPr>
          <w:rFonts w:ascii="Arial" w:cs="Arial" w:eastAsia="Arial" w:hAnsi="Arial"/>
          <w:sz w:val="15"/>
          <w:szCs w:val="15"/>
          <w:b w:val="1"/>
          <w:bCs w:val="1"/>
          <w:u w:val="single" w:color="auto"/>
          <w:color w:val="auto"/>
        </w:rPr>
        <w:t>12</w:t>
      </w:r>
      <w:r>
        <w:rPr>
          <w:rFonts w:ascii="Arial" w:cs="Arial" w:eastAsia="Arial" w:hAnsi="Arial"/>
          <w:sz w:val="15"/>
          <w:szCs w:val="15"/>
          <w:b w:val="1"/>
          <w:bCs w:val="1"/>
          <w:color w:val="auto"/>
        </w:rPr>
        <w:t xml:space="preserve">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-106045</wp:posOffset>
            </wp:positionV>
            <wp:extent cx="2314575" cy="240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14575"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680" w:space="720"/>
            <w:col w:w="2400" w:space="720"/>
            <w:col w:w="2500"/>
          </w:cols>
          <w:pgMar w:left="440" w:top="270" w:right="439" w:bottom="1440" w:gutter="0" w:footer="0" w:header="0"/>
        </w:sectPr>
      </w:pPr>
    </w:p>
    <w:p>
      <w:pPr>
        <w:spacing w:after="0" w:line="143" w:lineRule="exact"/>
        <w:rPr>
          <w:sz w:val="20"/>
          <w:szCs w:val="20"/>
          <w:color w:val="auto"/>
        </w:rPr>
      </w:pPr>
    </w:p>
    <w:p>
      <w:pPr>
        <w:ind w:left="240"/>
        <w:spacing w:after="0"/>
        <w:tabs>
          <w:tab w:leader="none" w:pos="68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003415" cy="5546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3415" cy="55460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b w:val="1"/>
                <w:bCs w:val="1"/>
                <w:color w:val="auto"/>
              </w:rPr>
              <w:t>Valor Equity Associates IV L.P.</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b w:val="1"/>
                <w:bCs w:val="1"/>
                <w:color w:val="auto"/>
              </w:rPr>
              <w:t>2.</w:t>
            </w:r>
          </w:p>
        </w:tc>
        <w:tc>
          <w:tcPr>
            <w:tcW w:w="200" w:type="dxa"/>
            <w:vAlign w:val="bottom"/>
          </w:tcPr>
          <w:p>
            <w:pPr>
              <w:spacing w:after="0"/>
              <w:rPr>
                <w:sz w:val="14"/>
                <w:szCs w:val="14"/>
                <w:color w:val="auto"/>
              </w:rPr>
            </w:pPr>
          </w:p>
        </w:tc>
        <w:tc>
          <w:tcPr>
            <w:tcW w:w="10420" w:type="dxa"/>
            <w:vAlign w:val="bottom"/>
            <w:gridSpan w:val="3"/>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580" w:type="dxa"/>
            <w:vAlign w:val="bottom"/>
            <w:gridSpan w:val="2"/>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2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0" w:type="dxa"/>
            <w:vAlign w:val="bottom"/>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00" w:type="dxa"/>
            <w:vAlign w:val="bottom"/>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79"/>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b w:val="1"/>
                <w:bCs w:val="1"/>
                <w:color w:val="auto"/>
              </w:rPr>
              <w:t>Delaware</w:t>
            </w: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5.</w:t>
            </w:r>
          </w:p>
        </w:tc>
        <w:tc>
          <w:tcPr>
            <w:tcW w:w="92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79"/>
        </w:trPr>
        <w:tc>
          <w:tcPr>
            <w:tcW w:w="144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48"/>
        </w:trPr>
        <w:tc>
          <w:tcPr>
            <w:tcW w:w="1440" w:type="dxa"/>
            <w:vAlign w:val="bottom"/>
            <w:tcBorders>
              <w:right w:val="single" w:sz="8" w:color="auto"/>
            </w:tcBorders>
            <w:gridSpan w:val="3"/>
            <w:vMerge w:val="continue"/>
          </w:tcPr>
          <w:p>
            <w:pPr>
              <w:spacing w:after="0"/>
              <w:rPr>
                <w:sz w:val="4"/>
                <w:szCs w:val="4"/>
                <w:color w:val="auto"/>
              </w:rPr>
            </w:pPr>
          </w:p>
        </w:tc>
        <w:tc>
          <w:tcPr>
            <w:tcW w:w="3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6.</w:t>
            </w:r>
          </w:p>
        </w:tc>
        <w:tc>
          <w:tcPr>
            <w:tcW w:w="924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1040" w:type="dxa"/>
            <w:vAlign w:val="bottom"/>
            <w:tcBorders>
              <w:right w:val="single" w:sz="8" w:color="auto"/>
            </w:tcBorders>
            <w:gridSpan w:val="2"/>
            <w:vMerge w:val="restart"/>
          </w:tcPr>
          <w:p>
            <w:pPr>
              <w:jc w:val="center"/>
              <w:ind w:right="183"/>
              <w:spacing w:after="0"/>
              <w:rPr>
                <w:sz w:val="20"/>
                <w:szCs w:val="20"/>
                <w:color w:val="auto"/>
              </w:rPr>
            </w:pPr>
            <w:r>
              <w:rPr>
                <w:rFonts w:ascii="Arial" w:cs="Arial" w:eastAsia="Arial" w:hAnsi="Arial"/>
                <w:sz w:val="18"/>
                <w:szCs w:val="18"/>
                <w:color w:val="auto"/>
                <w:w w:val="91"/>
              </w:rPr>
              <w:t>SHARES</w:t>
            </w:r>
          </w:p>
        </w:tc>
        <w:tc>
          <w:tcPr>
            <w:tcW w:w="340" w:type="dxa"/>
            <w:vAlign w:val="bottom"/>
            <w:tcBorders>
              <w:right w:val="single" w:sz="8" w:color="auto"/>
            </w:tcBorders>
            <w:vMerge w:val="continue"/>
          </w:tcPr>
          <w:p>
            <w:pPr>
              <w:spacing w:after="0"/>
              <w:rPr>
                <w:sz w:val="15"/>
                <w:szCs w:val="15"/>
                <w:color w:val="auto"/>
              </w:rPr>
            </w:pPr>
          </w:p>
        </w:tc>
        <w:tc>
          <w:tcPr>
            <w:tcW w:w="9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1040" w:type="dxa"/>
            <w:vAlign w:val="bottom"/>
            <w:tcBorders>
              <w:right w:val="single" w:sz="8" w:color="auto"/>
            </w:tcBorders>
            <w:gridSpan w:val="2"/>
            <w:vMerge w:val="continue"/>
          </w:tcPr>
          <w:p>
            <w:pPr>
              <w:spacing w:after="0"/>
              <w:rPr>
                <w:sz w:val="3"/>
                <w:szCs w:val="3"/>
                <w:color w:val="auto"/>
              </w:rPr>
            </w:pPr>
          </w:p>
        </w:tc>
        <w:tc>
          <w:tcPr>
            <w:tcW w:w="340" w:type="dxa"/>
            <w:vAlign w:val="bottom"/>
            <w:tcBorders>
              <w:right w:val="single" w:sz="8" w:color="auto"/>
            </w:tcBorders>
          </w:tcPr>
          <w:p>
            <w:pPr>
              <w:spacing w:after="0"/>
              <w:rPr>
                <w:sz w:val="3"/>
                <w:szCs w:val="3"/>
                <w:color w:val="auto"/>
              </w:rPr>
            </w:pPr>
          </w:p>
        </w:tc>
        <w:tc>
          <w:tcPr>
            <w:tcW w:w="9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9240" w:type="dxa"/>
            <w:vAlign w:val="bottom"/>
            <w:vMerge w:val="restart"/>
          </w:tcPr>
          <w:p>
            <w:pPr>
              <w:ind w:left="100"/>
              <w:spacing w:after="0"/>
              <w:rPr>
                <w:sz w:val="20"/>
                <w:szCs w:val="20"/>
                <w:color w:val="auto"/>
              </w:rPr>
            </w:pPr>
            <w:r>
              <w:rPr>
                <w:rFonts w:ascii="Arial" w:cs="Arial" w:eastAsia="Arial" w:hAnsi="Arial"/>
                <w:sz w:val="22"/>
                <w:szCs w:val="22"/>
                <w:b w:val="1"/>
                <w:bCs w:val="1"/>
                <w:color w:val="auto"/>
              </w:rPr>
              <w:t>11,218,033</w:t>
            </w:r>
          </w:p>
        </w:tc>
        <w:tc>
          <w:tcPr>
            <w:tcW w:w="0" w:type="dxa"/>
            <w:vAlign w:val="bottom"/>
          </w:tcPr>
          <w:p>
            <w:pPr>
              <w:spacing w:after="0"/>
              <w:rPr>
                <w:sz w:val="1"/>
                <w:szCs w:val="1"/>
                <w:color w:val="auto"/>
              </w:rPr>
            </w:pPr>
          </w:p>
        </w:tc>
      </w:tr>
      <w:tr>
        <w:trPr>
          <w:trHeight w:val="230"/>
        </w:trPr>
        <w:tc>
          <w:tcPr>
            <w:tcW w:w="144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340" w:type="dxa"/>
            <w:vAlign w:val="bottom"/>
            <w:tcBorders>
              <w:bottom w:val="single" w:sz="8" w:color="auto"/>
              <w:right w:val="single" w:sz="8" w:color="auto"/>
            </w:tcBorders>
          </w:tcPr>
          <w:p>
            <w:pPr>
              <w:spacing w:after="0"/>
              <w:rPr>
                <w:sz w:val="20"/>
                <w:szCs w:val="20"/>
                <w:color w:val="auto"/>
              </w:rPr>
            </w:pPr>
          </w:p>
        </w:tc>
        <w:tc>
          <w:tcPr>
            <w:tcW w:w="92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83"/>
              <w:spacing w:after="0" w:line="182" w:lineRule="exact"/>
              <w:rPr>
                <w:sz w:val="20"/>
                <w:szCs w:val="20"/>
                <w:color w:val="auto"/>
              </w:rPr>
            </w:pPr>
            <w:r>
              <w:rPr>
                <w:rFonts w:ascii="Arial" w:cs="Arial" w:eastAsia="Arial" w:hAnsi="Arial"/>
                <w:sz w:val="18"/>
                <w:szCs w:val="18"/>
                <w:color w:val="auto"/>
                <w:w w:val="95"/>
              </w:rPr>
              <w:t>EACH</w:t>
            </w:r>
          </w:p>
        </w:tc>
        <w:tc>
          <w:tcPr>
            <w:tcW w:w="34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18"/>
                <w:szCs w:val="18"/>
                <w:b w:val="1"/>
                <w:bCs w:val="1"/>
                <w:color w:val="auto"/>
              </w:rPr>
              <w:t>7.</w:t>
            </w:r>
          </w:p>
        </w:tc>
        <w:tc>
          <w:tcPr>
            <w:tcW w:w="924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REPORTING</w:t>
            </w:r>
          </w:p>
        </w:tc>
        <w:tc>
          <w:tcPr>
            <w:tcW w:w="340" w:type="dxa"/>
            <w:vAlign w:val="bottom"/>
            <w:tcBorders>
              <w:right w:val="single" w:sz="8" w:color="auto"/>
            </w:tcBorders>
          </w:tcPr>
          <w:p>
            <w:pPr>
              <w:spacing w:after="0"/>
              <w:rPr>
                <w:sz w:val="18"/>
                <w:szCs w:val="18"/>
                <w:color w:val="auto"/>
              </w:rPr>
            </w:pPr>
          </w:p>
        </w:tc>
        <w:tc>
          <w:tcPr>
            <w:tcW w:w="9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1040" w:type="dxa"/>
            <w:vAlign w:val="bottom"/>
            <w:tcBorders>
              <w:right w:val="single" w:sz="8" w:color="auto"/>
            </w:tcBorders>
            <w:gridSpan w:val="2"/>
          </w:tcPr>
          <w:p>
            <w:pPr>
              <w:jc w:val="center"/>
              <w:ind w:right="183"/>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20"/>
                <w:szCs w:val="20"/>
                <w:color w:val="auto"/>
              </w:rPr>
            </w:pPr>
          </w:p>
        </w:tc>
        <w:tc>
          <w:tcPr>
            <w:tcW w:w="9240" w:type="dxa"/>
            <w:vAlign w:val="bottom"/>
          </w:tcPr>
          <w:p>
            <w:pPr>
              <w:ind w:left="100"/>
              <w:spacing w:after="0" w:line="232"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1040" w:type="dxa"/>
            <w:vAlign w:val="bottom"/>
            <w:tcBorders>
              <w:right w:val="single" w:sz="8" w:color="auto"/>
            </w:tcBorders>
            <w:gridSpan w:val="2"/>
            <w:vMerge w:val="restart"/>
          </w:tcPr>
          <w:p>
            <w:pPr>
              <w:jc w:val="center"/>
              <w:ind w:right="183"/>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6"/>
                <w:szCs w:val="6"/>
                <w:color w:val="auto"/>
              </w:rPr>
            </w:pPr>
          </w:p>
        </w:tc>
        <w:tc>
          <w:tcPr>
            <w:tcW w:w="9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1040" w:type="dxa"/>
            <w:vAlign w:val="bottom"/>
            <w:tcBorders>
              <w:right w:val="single" w:sz="8" w:color="auto"/>
            </w:tcBorders>
            <w:gridSpan w:val="2"/>
            <w:vMerge w:val="continue"/>
          </w:tcPr>
          <w:p>
            <w:pPr>
              <w:spacing w:after="0"/>
              <w:rPr>
                <w:sz w:val="11"/>
                <w:szCs w:val="11"/>
                <w:color w:val="auto"/>
              </w:rPr>
            </w:pPr>
          </w:p>
        </w:tc>
        <w:tc>
          <w:tcPr>
            <w:tcW w:w="3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8.</w:t>
            </w:r>
          </w:p>
        </w:tc>
        <w:tc>
          <w:tcPr>
            <w:tcW w:w="92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7"/>
        </w:trPr>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340" w:type="dxa"/>
            <w:vAlign w:val="bottom"/>
            <w:tcBorders>
              <w:right w:val="single" w:sz="8" w:color="auto"/>
            </w:tcBorders>
            <w:vMerge w:val="continue"/>
          </w:tcPr>
          <w:p>
            <w:pPr>
              <w:spacing w:after="0"/>
              <w:rPr>
                <w:sz w:val="8"/>
                <w:szCs w:val="8"/>
                <w:color w:val="auto"/>
              </w:rPr>
            </w:pPr>
          </w:p>
        </w:tc>
        <w:tc>
          <w:tcPr>
            <w:tcW w:w="9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9"/>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11,218,033</w:t>
            </w:r>
          </w:p>
        </w:tc>
        <w:tc>
          <w:tcPr>
            <w:tcW w:w="0" w:type="dxa"/>
            <w:vAlign w:val="bottom"/>
          </w:tcPr>
          <w:p>
            <w:pPr>
              <w:spacing w:after="0"/>
              <w:rPr>
                <w:sz w:val="1"/>
                <w:szCs w:val="1"/>
                <w:color w:val="auto"/>
              </w:rPr>
            </w:pPr>
          </w:p>
        </w:tc>
      </w:tr>
      <w:tr>
        <w:trPr>
          <w:trHeight w:val="230"/>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00" w:type="dxa"/>
            <w:vAlign w:val="bottom"/>
            <w:tcBorders>
              <w:right w:val="single" w:sz="8" w:color="auto"/>
            </w:tcBorders>
          </w:tcPr>
          <w:p>
            <w:pPr>
              <w:spacing w:after="0"/>
              <w:rPr>
                <w:sz w:val="19"/>
                <w:szCs w:val="19"/>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w w:val="91"/>
              </w:rPr>
              <w:t>AGGREGATE</w:t>
            </w:r>
          </w:p>
        </w:tc>
        <w:tc>
          <w:tcPr>
            <w:tcW w:w="9240" w:type="dxa"/>
            <w:vAlign w:val="bottom"/>
          </w:tcPr>
          <w:p>
            <w:pPr>
              <w:ind w:left="4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79"/>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b w:val="1"/>
                <w:bCs w:val="1"/>
                <w:color w:val="auto"/>
                <w:w w:val="94"/>
              </w:rPr>
              <w:t>11,218,033</w:t>
            </w: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00" w:type="dxa"/>
            <w:vAlign w:val="bottom"/>
            <w:tcBorders>
              <w:right w:val="single" w:sz="8" w:color="auto"/>
            </w:tcBorders>
          </w:tcPr>
          <w:p>
            <w:pPr>
              <w:spacing w:after="0"/>
              <w:rPr>
                <w:sz w:val="24"/>
                <w:szCs w:val="24"/>
                <w:color w:val="auto"/>
              </w:rPr>
            </w:pPr>
          </w:p>
        </w:tc>
        <w:tc>
          <w:tcPr>
            <w:tcW w:w="1042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3"/>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200" w:type="dxa"/>
            <w:vAlign w:val="bottom"/>
            <w:tcBorders>
              <w:right w:val="single" w:sz="8" w:color="auto"/>
            </w:tcBorders>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79"/>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19.7%</w:t>
            </w: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00" w:type="dxa"/>
            <w:vAlign w:val="bottom"/>
            <w:tcBorders>
              <w:right w:val="single" w:sz="8" w:color="auto"/>
            </w:tcBorders>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79"/>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HC</w:t>
            </w: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type w:val="continuous"/>
        </w:sectPr>
      </w:pPr>
    </w:p>
    <w:bookmarkStart w:id="4" w:name="page5"/>
    <w:bookmarkEnd w:id="4"/>
    <w:p>
      <w:pPr>
        <w:spacing w:after="0" w:line="1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CUSIP No. 413197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2322830" cy="240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2283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-198755</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5</w:t>
      </w:r>
      <w:r>
        <w:rPr>
          <w:rFonts w:ascii="Arial" w:cs="Arial" w:eastAsia="Arial" w:hAnsi="Arial"/>
          <w:sz w:val="15"/>
          <w:szCs w:val="15"/>
          <w:b w:val="1"/>
          <w:bCs w:val="1"/>
          <w:color w:val="auto"/>
        </w:rPr>
        <w:t xml:space="preserve"> of </w:t>
      </w:r>
      <w:r>
        <w:rPr>
          <w:rFonts w:ascii="Arial" w:cs="Arial" w:eastAsia="Arial" w:hAnsi="Arial"/>
          <w:sz w:val="15"/>
          <w:szCs w:val="15"/>
          <w:b w:val="1"/>
          <w:bCs w:val="1"/>
          <w:u w:val="single" w:color="auto"/>
          <w:color w:val="auto"/>
        </w:rPr>
        <w:t>12</w:t>
      </w:r>
      <w:r>
        <w:rPr>
          <w:rFonts w:ascii="Arial" w:cs="Arial" w:eastAsia="Arial" w:hAnsi="Arial"/>
          <w:sz w:val="15"/>
          <w:szCs w:val="15"/>
          <w:b w:val="1"/>
          <w:bCs w:val="1"/>
          <w:color w:val="auto"/>
        </w:rPr>
        <w:t xml:space="preserve">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-106045</wp:posOffset>
            </wp:positionV>
            <wp:extent cx="2314575" cy="2400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14575"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680" w:space="720"/>
            <w:col w:w="2400" w:space="720"/>
            <w:col w:w="2500"/>
          </w:cols>
          <w:pgMar w:left="440" w:top="270" w:right="439" w:bottom="1440" w:gutter="0" w:footer="0" w:header="0"/>
        </w:sectPr>
      </w:pPr>
    </w:p>
    <w:p>
      <w:pPr>
        <w:spacing w:after="0" w:line="143" w:lineRule="exact"/>
        <w:rPr>
          <w:sz w:val="20"/>
          <w:szCs w:val="20"/>
          <w:color w:val="auto"/>
        </w:rPr>
      </w:pPr>
    </w:p>
    <w:p>
      <w:pPr>
        <w:ind w:left="240"/>
        <w:spacing w:after="0"/>
        <w:tabs>
          <w:tab w:leader="none" w:pos="68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003415" cy="55460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3415" cy="55460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b w:val="1"/>
                <w:bCs w:val="1"/>
                <w:color w:val="auto"/>
              </w:rPr>
              <w:t>Valor Equity Capital IV LLC</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b w:val="1"/>
                <w:bCs w:val="1"/>
                <w:color w:val="auto"/>
              </w:rPr>
              <w:t>2.</w:t>
            </w:r>
          </w:p>
        </w:tc>
        <w:tc>
          <w:tcPr>
            <w:tcW w:w="200" w:type="dxa"/>
            <w:vAlign w:val="bottom"/>
          </w:tcPr>
          <w:p>
            <w:pPr>
              <w:spacing w:after="0"/>
              <w:rPr>
                <w:sz w:val="14"/>
                <w:szCs w:val="14"/>
                <w:color w:val="auto"/>
              </w:rPr>
            </w:pPr>
          </w:p>
        </w:tc>
        <w:tc>
          <w:tcPr>
            <w:tcW w:w="10420" w:type="dxa"/>
            <w:vAlign w:val="bottom"/>
            <w:gridSpan w:val="3"/>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580" w:type="dxa"/>
            <w:vAlign w:val="bottom"/>
            <w:gridSpan w:val="2"/>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2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0" w:type="dxa"/>
            <w:vAlign w:val="bottom"/>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00" w:type="dxa"/>
            <w:vAlign w:val="bottom"/>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79"/>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b w:val="1"/>
                <w:bCs w:val="1"/>
                <w:color w:val="auto"/>
              </w:rPr>
              <w:t>Delaware</w:t>
            </w: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5.</w:t>
            </w:r>
          </w:p>
        </w:tc>
        <w:tc>
          <w:tcPr>
            <w:tcW w:w="92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79"/>
        </w:trPr>
        <w:tc>
          <w:tcPr>
            <w:tcW w:w="144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48"/>
        </w:trPr>
        <w:tc>
          <w:tcPr>
            <w:tcW w:w="1440" w:type="dxa"/>
            <w:vAlign w:val="bottom"/>
            <w:tcBorders>
              <w:right w:val="single" w:sz="8" w:color="auto"/>
            </w:tcBorders>
            <w:gridSpan w:val="3"/>
            <w:vMerge w:val="continue"/>
          </w:tcPr>
          <w:p>
            <w:pPr>
              <w:spacing w:after="0"/>
              <w:rPr>
                <w:sz w:val="4"/>
                <w:szCs w:val="4"/>
                <w:color w:val="auto"/>
              </w:rPr>
            </w:pPr>
          </w:p>
        </w:tc>
        <w:tc>
          <w:tcPr>
            <w:tcW w:w="3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6.</w:t>
            </w:r>
          </w:p>
        </w:tc>
        <w:tc>
          <w:tcPr>
            <w:tcW w:w="924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1040" w:type="dxa"/>
            <w:vAlign w:val="bottom"/>
            <w:tcBorders>
              <w:right w:val="single" w:sz="8" w:color="auto"/>
            </w:tcBorders>
            <w:gridSpan w:val="2"/>
            <w:vMerge w:val="restart"/>
          </w:tcPr>
          <w:p>
            <w:pPr>
              <w:jc w:val="center"/>
              <w:ind w:right="183"/>
              <w:spacing w:after="0"/>
              <w:rPr>
                <w:sz w:val="20"/>
                <w:szCs w:val="20"/>
                <w:color w:val="auto"/>
              </w:rPr>
            </w:pPr>
            <w:r>
              <w:rPr>
                <w:rFonts w:ascii="Arial" w:cs="Arial" w:eastAsia="Arial" w:hAnsi="Arial"/>
                <w:sz w:val="18"/>
                <w:szCs w:val="18"/>
                <w:color w:val="auto"/>
                <w:w w:val="91"/>
              </w:rPr>
              <w:t>SHARES</w:t>
            </w:r>
          </w:p>
        </w:tc>
        <w:tc>
          <w:tcPr>
            <w:tcW w:w="340" w:type="dxa"/>
            <w:vAlign w:val="bottom"/>
            <w:tcBorders>
              <w:right w:val="single" w:sz="8" w:color="auto"/>
            </w:tcBorders>
            <w:vMerge w:val="continue"/>
          </w:tcPr>
          <w:p>
            <w:pPr>
              <w:spacing w:after="0"/>
              <w:rPr>
                <w:sz w:val="15"/>
                <w:szCs w:val="15"/>
                <w:color w:val="auto"/>
              </w:rPr>
            </w:pPr>
          </w:p>
        </w:tc>
        <w:tc>
          <w:tcPr>
            <w:tcW w:w="9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1040" w:type="dxa"/>
            <w:vAlign w:val="bottom"/>
            <w:tcBorders>
              <w:right w:val="single" w:sz="8" w:color="auto"/>
            </w:tcBorders>
            <w:gridSpan w:val="2"/>
            <w:vMerge w:val="continue"/>
          </w:tcPr>
          <w:p>
            <w:pPr>
              <w:spacing w:after="0"/>
              <w:rPr>
                <w:sz w:val="3"/>
                <w:szCs w:val="3"/>
                <w:color w:val="auto"/>
              </w:rPr>
            </w:pPr>
          </w:p>
        </w:tc>
        <w:tc>
          <w:tcPr>
            <w:tcW w:w="340" w:type="dxa"/>
            <w:vAlign w:val="bottom"/>
            <w:tcBorders>
              <w:right w:val="single" w:sz="8" w:color="auto"/>
            </w:tcBorders>
          </w:tcPr>
          <w:p>
            <w:pPr>
              <w:spacing w:after="0"/>
              <w:rPr>
                <w:sz w:val="3"/>
                <w:szCs w:val="3"/>
                <w:color w:val="auto"/>
              </w:rPr>
            </w:pPr>
          </w:p>
        </w:tc>
        <w:tc>
          <w:tcPr>
            <w:tcW w:w="9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9240" w:type="dxa"/>
            <w:vAlign w:val="bottom"/>
            <w:vMerge w:val="restart"/>
          </w:tcPr>
          <w:p>
            <w:pPr>
              <w:ind w:left="100"/>
              <w:spacing w:after="0"/>
              <w:rPr>
                <w:sz w:val="20"/>
                <w:szCs w:val="20"/>
                <w:color w:val="auto"/>
              </w:rPr>
            </w:pPr>
            <w:r>
              <w:rPr>
                <w:rFonts w:ascii="Arial" w:cs="Arial" w:eastAsia="Arial" w:hAnsi="Arial"/>
                <w:sz w:val="22"/>
                <w:szCs w:val="22"/>
                <w:b w:val="1"/>
                <w:bCs w:val="1"/>
                <w:color w:val="auto"/>
              </w:rPr>
              <w:t>11,218,033</w:t>
            </w:r>
          </w:p>
        </w:tc>
        <w:tc>
          <w:tcPr>
            <w:tcW w:w="0" w:type="dxa"/>
            <w:vAlign w:val="bottom"/>
          </w:tcPr>
          <w:p>
            <w:pPr>
              <w:spacing w:after="0"/>
              <w:rPr>
                <w:sz w:val="1"/>
                <w:szCs w:val="1"/>
                <w:color w:val="auto"/>
              </w:rPr>
            </w:pPr>
          </w:p>
        </w:tc>
      </w:tr>
      <w:tr>
        <w:trPr>
          <w:trHeight w:val="230"/>
        </w:trPr>
        <w:tc>
          <w:tcPr>
            <w:tcW w:w="144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340" w:type="dxa"/>
            <w:vAlign w:val="bottom"/>
            <w:tcBorders>
              <w:bottom w:val="single" w:sz="8" w:color="auto"/>
              <w:right w:val="single" w:sz="8" w:color="auto"/>
            </w:tcBorders>
          </w:tcPr>
          <w:p>
            <w:pPr>
              <w:spacing w:after="0"/>
              <w:rPr>
                <w:sz w:val="20"/>
                <w:szCs w:val="20"/>
                <w:color w:val="auto"/>
              </w:rPr>
            </w:pPr>
          </w:p>
        </w:tc>
        <w:tc>
          <w:tcPr>
            <w:tcW w:w="92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83"/>
              <w:spacing w:after="0" w:line="182" w:lineRule="exact"/>
              <w:rPr>
                <w:sz w:val="20"/>
                <w:szCs w:val="20"/>
                <w:color w:val="auto"/>
              </w:rPr>
            </w:pPr>
            <w:r>
              <w:rPr>
                <w:rFonts w:ascii="Arial" w:cs="Arial" w:eastAsia="Arial" w:hAnsi="Arial"/>
                <w:sz w:val="18"/>
                <w:szCs w:val="18"/>
                <w:color w:val="auto"/>
                <w:w w:val="95"/>
              </w:rPr>
              <w:t>EACH</w:t>
            </w:r>
          </w:p>
        </w:tc>
        <w:tc>
          <w:tcPr>
            <w:tcW w:w="34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18"/>
                <w:szCs w:val="18"/>
                <w:b w:val="1"/>
                <w:bCs w:val="1"/>
                <w:color w:val="auto"/>
              </w:rPr>
              <w:t>7.</w:t>
            </w:r>
          </w:p>
        </w:tc>
        <w:tc>
          <w:tcPr>
            <w:tcW w:w="924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REPORTING</w:t>
            </w:r>
          </w:p>
        </w:tc>
        <w:tc>
          <w:tcPr>
            <w:tcW w:w="340" w:type="dxa"/>
            <w:vAlign w:val="bottom"/>
            <w:tcBorders>
              <w:right w:val="single" w:sz="8" w:color="auto"/>
            </w:tcBorders>
          </w:tcPr>
          <w:p>
            <w:pPr>
              <w:spacing w:after="0"/>
              <w:rPr>
                <w:sz w:val="18"/>
                <w:szCs w:val="18"/>
                <w:color w:val="auto"/>
              </w:rPr>
            </w:pPr>
          </w:p>
        </w:tc>
        <w:tc>
          <w:tcPr>
            <w:tcW w:w="9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1040" w:type="dxa"/>
            <w:vAlign w:val="bottom"/>
            <w:tcBorders>
              <w:right w:val="single" w:sz="8" w:color="auto"/>
            </w:tcBorders>
            <w:gridSpan w:val="2"/>
          </w:tcPr>
          <w:p>
            <w:pPr>
              <w:jc w:val="center"/>
              <w:ind w:right="183"/>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20"/>
                <w:szCs w:val="20"/>
                <w:color w:val="auto"/>
              </w:rPr>
            </w:pPr>
          </w:p>
        </w:tc>
        <w:tc>
          <w:tcPr>
            <w:tcW w:w="9240" w:type="dxa"/>
            <w:vAlign w:val="bottom"/>
          </w:tcPr>
          <w:p>
            <w:pPr>
              <w:ind w:left="100"/>
              <w:spacing w:after="0" w:line="232"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1040" w:type="dxa"/>
            <w:vAlign w:val="bottom"/>
            <w:tcBorders>
              <w:right w:val="single" w:sz="8" w:color="auto"/>
            </w:tcBorders>
            <w:gridSpan w:val="2"/>
            <w:vMerge w:val="restart"/>
          </w:tcPr>
          <w:p>
            <w:pPr>
              <w:jc w:val="center"/>
              <w:ind w:right="183"/>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6"/>
                <w:szCs w:val="6"/>
                <w:color w:val="auto"/>
              </w:rPr>
            </w:pPr>
          </w:p>
        </w:tc>
        <w:tc>
          <w:tcPr>
            <w:tcW w:w="9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1040" w:type="dxa"/>
            <w:vAlign w:val="bottom"/>
            <w:tcBorders>
              <w:right w:val="single" w:sz="8" w:color="auto"/>
            </w:tcBorders>
            <w:gridSpan w:val="2"/>
            <w:vMerge w:val="continue"/>
          </w:tcPr>
          <w:p>
            <w:pPr>
              <w:spacing w:after="0"/>
              <w:rPr>
                <w:sz w:val="11"/>
                <w:szCs w:val="11"/>
                <w:color w:val="auto"/>
              </w:rPr>
            </w:pPr>
          </w:p>
        </w:tc>
        <w:tc>
          <w:tcPr>
            <w:tcW w:w="3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8.</w:t>
            </w:r>
          </w:p>
        </w:tc>
        <w:tc>
          <w:tcPr>
            <w:tcW w:w="92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7"/>
        </w:trPr>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340" w:type="dxa"/>
            <w:vAlign w:val="bottom"/>
            <w:tcBorders>
              <w:right w:val="single" w:sz="8" w:color="auto"/>
            </w:tcBorders>
            <w:vMerge w:val="continue"/>
          </w:tcPr>
          <w:p>
            <w:pPr>
              <w:spacing w:after="0"/>
              <w:rPr>
                <w:sz w:val="8"/>
                <w:szCs w:val="8"/>
                <w:color w:val="auto"/>
              </w:rPr>
            </w:pPr>
          </w:p>
        </w:tc>
        <w:tc>
          <w:tcPr>
            <w:tcW w:w="9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9"/>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11,218,033</w:t>
            </w:r>
          </w:p>
        </w:tc>
        <w:tc>
          <w:tcPr>
            <w:tcW w:w="0" w:type="dxa"/>
            <w:vAlign w:val="bottom"/>
          </w:tcPr>
          <w:p>
            <w:pPr>
              <w:spacing w:after="0"/>
              <w:rPr>
                <w:sz w:val="1"/>
                <w:szCs w:val="1"/>
                <w:color w:val="auto"/>
              </w:rPr>
            </w:pPr>
          </w:p>
        </w:tc>
      </w:tr>
      <w:tr>
        <w:trPr>
          <w:trHeight w:val="230"/>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00" w:type="dxa"/>
            <w:vAlign w:val="bottom"/>
            <w:tcBorders>
              <w:right w:val="single" w:sz="8" w:color="auto"/>
            </w:tcBorders>
          </w:tcPr>
          <w:p>
            <w:pPr>
              <w:spacing w:after="0"/>
              <w:rPr>
                <w:sz w:val="19"/>
                <w:szCs w:val="19"/>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w w:val="91"/>
              </w:rPr>
              <w:t>AGGREGATE</w:t>
            </w:r>
          </w:p>
        </w:tc>
        <w:tc>
          <w:tcPr>
            <w:tcW w:w="9240" w:type="dxa"/>
            <w:vAlign w:val="bottom"/>
          </w:tcPr>
          <w:p>
            <w:pPr>
              <w:ind w:left="4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79"/>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b w:val="1"/>
                <w:bCs w:val="1"/>
                <w:color w:val="auto"/>
                <w:w w:val="94"/>
              </w:rPr>
              <w:t>11,218,033</w:t>
            </w: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00" w:type="dxa"/>
            <w:vAlign w:val="bottom"/>
            <w:tcBorders>
              <w:right w:val="single" w:sz="8" w:color="auto"/>
            </w:tcBorders>
          </w:tcPr>
          <w:p>
            <w:pPr>
              <w:spacing w:after="0"/>
              <w:rPr>
                <w:sz w:val="24"/>
                <w:szCs w:val="24"/>
                <w:color w:val="auto"/>
              </w:rPr>
            </w:pPr>
          </w:p>
        </w:tc>
        <w:tc>
          <w:tcPr>
            <w:tcW w:w="1042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3"/>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200" w:type="dxa"/>
            <w:vAlign w:val="bottom"/>
            <w:tcBorders>
              <w:right w:val="single" w:sz="8" w:color="auto"/>
            </w:tcBorders>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79"/>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19.7%</w:t>
            </w: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00" w:type="dxa"/>
            <w:vAlign w:val="bottom"/>
            <w:tcBorders>
              <w:right w:val="single" w:sz="8" w:color="auto"/>
            </w:tcBorders>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79"/>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HC</w:t>
            </w: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type w:val="continuous"/>
        </w:sectPr>
      </w:pPr>
    </w:p>
    <w:bookmarkStart w:id="5" w:name="page6"/>
    <w:bookmarkEnd w:id="5"/>
    <w:p>
      <w:pPr>
        <w:spacing w:after="0" w:line="1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CUSIP No. 413197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2322830" cy="2400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2283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-198755</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6</w:t>
      </w:r>
      <w:r>
        <w:rPr>
          <w:rFonts w:ascii="Arial" w:cs="Arial" w:eastAsia="Arial" w:hAnsi="Arial"/>
          <w:sz w:val="15"/>
          <w:szCs w:val="15"/>
          <w:b w:val="1"/>
          <w:bCs w:val="1"/>
          <w:color w:val="auto"/>
        </w:rPr>
        <w:t xml:space="preserve"> of </w:t>
      </w:r>
      <w:r>
        <w:rPr>
          <w:rFonts w:ascii="Arial" w:cs="Arial" w:eastAsia="Arial" w:hAnsi="Arial"/>
          <w:sz w:val="15"/>
          <w:szCs w:val="15"/>
          <w:b w:val="1"/>
          <w:bCs w:val="1"/>
          <w:u w:val="single" w:color="auto"/>
          <w:color w:val="auto"/>
        </w:rPr>
        <w:t>12</w:t>
      </w:r>
      <w:r>
        <w:rPr>
          <w:rFonts w:ascii="Arial" w:cs="Arial" w:eastAsia="Arial" w:hAnsi="Arial"/>
          <w:sz w:val="15"/>
          <w:szCs w:val="15"/>
          <w:b w:val="1"/>
          <w:bCs w:val="1"/>
          <w:color w:val="auto"/>
        </w:rPr>
        <w:t xml:space="preserve">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-106045</wp:posOffset>
            </wp:positionV>
            <wp:extent cx="2314575" cy="2400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14575"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680" w:space="720"/>
            <w:col w:w="2400" w:space="720"/>
            <w:col w:w="2500"/>
          </w:cols>
          <w:pgMar w:left="440" w:top="270" w:right="439" w:bottom="1440" w:gutter="0" w:footer="0" w:header="0"/>
        </w:sectPr>
      </w:pPr>
    </w:p>
    <w:p>
      <w:pPr>
        <w:spacing w:after="0" w:line="143" w:lineRule="exact"/>
        <w:rPr>
          <w:sz w:val="20"/>
          <w:szCs w:val="20"/>
          <w:color w:val="auto"/>
        </w:rPr>
      </w:pPr>
    </w:p>
    <w:p>
      <w:pPr>
        <w:ind w:left="240"/>
        <w:spacing w:after="0"/>
        <w:tabs>
          <w:tab w:leader="none" w:pos="68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003415" cy="55460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3415" cy="55460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b w:val="1"/>
                <w:bCs w:val="1"/>
                <w:color w:val="auto"/>
              </w:rPr>
              <w:t>Valor Management L.P.</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b w:val="1"/>
                <w:bCs w:val="1"/>
                <w:color w:val="auto"/>
              </w:rPr>
              <w:t>2.</w:t>
            </w:r>
          </w:p>
        </w:tc>
        <w:tc>
          <w:tcPr>
            <w:tcW w:w="200" w:type="dxa"/>
            <w:vAlign w:val="bottom"/>
          </w:tcPr>
          <w:p>
            <w:pPr>
              <w:spacing w:after="0"/>
              <w:rPr>
                <w:sz w:val="14"/>
                <w:szCs w:val="14"/>
                <w:color w:val="auto"/>
              </w:rPr>
            </w:pPr>
          </w:p>
        </w:tc>
        <w:tc>
          <w:tcPr>
            <w:tcW w:w="10420" w:type="dxa"/>
            <w:vAlign w:val="bottom"/>
            <w:gridSpan w:val="3"/>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580" w:type="dxa"/>
            <w:vAlign w:val="bottom"/>
            <w:gridSpan w:val="2"/>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2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0" w:type="dxa"/>
            <w:vAlign w:val="bottom"/>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00" w:type="dxa"/>
            <w:vAlign w:val="bottom"/>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79"/>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b w:val="1"/>
                <w:bCs w:val="1"/>
                <w:color w:val="auto"/>
              </w:rPr>
              <w:t>Delaware</w:t>
            </w: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5.</w:t>
            </w:r>
          </w:p>
        </w:tc>
        <w:tc>
          <w:tcPr>
            <w:tcW w:w="92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79"/>
        </w:trPr>
        <w:tc>
          <w:tcPr>
            <w:tcW w:w="144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48"/>
        </w:trPr>
        <w:tc>
          <w:tcPr>
            <w:tcW w:w="1440" w:type="dxa"/>
            <w:vAlign w:val="bottom"/>
            <w:tcBorders>
              <w:right w:val="single" w:sz="8" w:color="auto"/>
            </w:tcBorders>
            <w:gridSpan w:val="3"/>
            <w:vMerge w:val="continue"/>
          </w:tcPr>
          <w:p>
            <w:pPr>
              <w:spacing w:after="0"/>
              <w:rPr>
                <w:sz w:val="4"/>
                <w:szCs w:val="4"/>
                <w:color w:val="auto"/>
              </w:rPr>
            </w:pPr>
          </w:p>
        </w:tc>
        <w:tc>
          <w:tcPr>
            <w:tcW w:w="3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6.</w:t>
            </w:r>
          </w:p>
        </w:tc>
        <w:tc>
          <w:tcPr>
            <w:tcW w:w="924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1040" w:type="dxa"/>
            <w:vAlign w:val="bottom"/>
            <w:tcBorders>
              <w:right w:val="single" w:sz="8" w:color="auto"/>
            </w:tcBorders>
            <w:gridSpan w:val="2"/>
            <w:vMerge w:val="restart"/>
          </w:tcPr>
          <w:p>
            <w:pPr>
              <w:jc w:val="center"/>
              <w:ind w:right="183"/>
              <w:spacing w:after="0"/>
              <w:rPr>
                <w:sz w:val="20"/>
                <w:szCs w:val="20"/>
                <w:color w:val="auto"/>
              </w:rPr>
            </w:pPr>
            <w:r>
              <w:rPr>
                <w:rFonts w:ascii="Arial" w:cs="Arial" w:eastAsia="Arial" w:hAnsi="Arial"/>
                <w:sz w:val="18"/>
                <w:szCs w:val="18"/>
                <w:color w:val="auto"/>
                <w:w w:val="91"/>
              </w:rPr>
              <w:t>SHARES</w:t>
            </w:r>
          </w:p>
        </w:tc>
        <w:tc>
          <w:tcPr>
            <w:tcW w:w="340" w:type="dxa"/>
            <w:vAlign w:val="bottom"/>
            <w:tcBorders>
              <w:right w:val="single" w:sz="8" w:color="auto"/>
            </w:tcBorders>
            <w:vMerge w:val="continue"/>
          </w:tcPr>
          <w:p>
            <w:pPr>
              <w:spacing w:after="0"/>
              <w:rPr>
                <w:sz w:val="15"/>
                <w:szCs w:val="15"/>
                <w:color w:val="auto"/>
              </w:rPr>
            </w:pPr>
          </w:p>
        </w:tc>
        <w:tc>
          <w:tcPr>
            <w:tcW w:w="9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1040" w:type="dxa"/>
            <w:vAlign w:val="bottom"/>
            <w:tcBorders>
              <w:right w:val="single" w:sz="8" w:color="auto"/>
            </w:tcBorders>
            <w:gridSpan w:val="2"/>
            <w:vMerge w:val="continue"/>
          </w:tcPr>
          <w:p>
            <w:pPr>
              <w:spacing w:after="0"/>
              <w:rPr>
                <w:sz w:val="3"/>
                <w:szCs w:val="3"/>
                <w:color w:val="auto"/>
              </w:rPr>
            </w:pPr>
          </w:p>
        </w:tc>
        <w:tc>
          <w:tcPr>
            <w:tcW w:w="340" w:type="dxa"/>
            <w:vAlign w:val="bottom"/>
            <w:tcBorders>
              <w:right w:val="single" w:sz="8" w:color="auto"/>
            </w:tcBorders>
          </w:tcPr>
          <w:p>
            <w:pPr>
              <w:spacing w:after="0"/>
              <w:rPr>
                <w:sz w:val="3"/>
                <w:szCs w:val="3"/>
                <w:color w:val="auto"/>
              </w:rPr>
            </w:pPr>
          </w:p>
        </w:tc>
        <w:tc>
          <w:tcPr>
            <w:tcW w:w="9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9240" w:type="dxa"/>
            <w:vAlign w:val="bottom"/>
            <w:vMerge w:val="restart"/>
          </w:tcPr>
          <w:p>
            <w:pPr>
              <w:ind w:left="100"/>
              <w:spacing w:after="0"/>
              <w:rPr>
                <w:sz w:val="20"/>
                <w:szCs w:val="20"/>
                <w:color w:val="auto"/>
              </w:rPr>
            </w:pPr>
            <w:r>
              <w:rPr>
                <w:rFonts w:ascii="Arial" w:cs="Arial" w:eastAsia="Arial" w:hAnsi="Arial"/>
                <w:sz w:val="22"/>
                <w:szCs w:val="22"/>
                <w:b w:val="1"/>
                <w:bCs w:val="1"/>
                <w:color w:val="auto"/>
              </w:rPr>
              <w:t>11,218,033</w:t>
            </w:r>
          </w:p>
        </w:tc>
        <w:tc>
          <w:tcPr>
            <w:tcW w:w="0" w:type="dxa"/>
            <w:vAlign w:val="bottom"/>
          </w:tcPr>
          <w:p>
            <w:pPr>
              <w:spacing w:after="0"/>
              <w:rPr>
                <w:sz w:val="1"/>
                <w:szCs w:val="1"/>
                <w:color w:val="auto"/>
              </w:rPr>
            </w:pPr>
          </w:p>
        </w:tc>
      </w:tr>
      <w:tr>
        <w:trPr>
          <w:trHeight w:val="230"/>
        </w:trPr>
        <w:tc>
          <w:tcPr>
            <w:tcW w:w="144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340" w:type="dxa"/>
            <w:vAlign w:val="bottom"/>
            <w:tcBorders>
              <w:bottom w:val="single" w:sz="8" w:color="auto"/>
              <w:right w:val="single" w:sz="8" w:color="auto"/>
            </w:tcBorders>
          </w:tcPr>
          <w:p>
            <w:pPr>
              <w:spacing w:after="0"/>
              <w:rPr>
                <w:sz w:val="20"/>
                <w:szCs w:val="20"/>
                <w:color w:val="auto"/>
              </w:rPr>
            </w:pPr>
          </w:p>
        </w:tc>
        <w:tc>
          <w:tcPr>
            <w:tcW w:w="92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83"/>
              <w:spacing w:after="0" w:line="182" w:lineRule="exact"/>
              <w:rPr>
                <w:sz w:val="20"/>
                <w:szCs w:val="20"/>
                <w:color w:val="auto"/>
              </w:rPr>
            </w:pPr>
            <w:r>
              <w:rPr>
                <w:rFonts w:ascii="Arial" w:cs="Arial" w:eastAsia="Arial" w:hAnsi="Arial"/>
                <w:sz w:val="18"/>
                <w:szCs w:val="18"/>
                <w:color w:val="auto"/>
                <w:w w:val="95"/>
              </w:rPr>
              <w:t>EACH</w:t>
            </w:r>
          </w:p>
        </w:tc>
        <w:tc>
          <w:tcPr>
            <w:tcW w:w="34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18"/>
                <w:szCs w:val="18"/>
                <w:b w:val="1"/>
                <w:bCs w:val="1"/>
                <w:color w:val="auto"/>
              </w:rPr>
              <w:t>7.</w:t>
            </w:r>
          </w:p>
        </w:tc>
        <w:tc>
          <w:tcPr>
            <w:tcW w:w="924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REPORTING</w:t>
            </w:r>
          </w:p>
        </w:tc>
        <w:tc>
          <w:tcPr>
            <w:tcW w:w="340" w:type="dxa"/>
            <w:vAlign w:val="bottom"/>
            <w:tcBorders>
              <w:right w:val="single" w:sz="8" w:color="auto"/>
            </w:tcBorders>
          </w:tcPr>
          <w:p>
            <w:pPr>
              <w:spacing w:after="0"/>
              <w:rPr>
                <w:sz w:val="18"/>
                <w:szCs w:val="18"/>
                <w:color w:val="auto"/>
              </w:rPr>
            </w:pPr>
          </w:p>
        </w:tc>
        <w:tc>
          <w:tcPr>
            <w:tcW w:w="9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1040" w:type="dxa"/>
            <w:vAlign w:val="bottom"/>
            <w:tcBorders>
              <w:right w:val="single" w:sz="8" w:color="auto"/>
            </w:tcBorders>
            <w:gridSpan w:val="2"/>
          </w:tcPr>
          <w:p>
            <w:pPr>
              <w:jc w:val="center"/>
              <w:ind w:right="183"/>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20"/>
                <w:szCs w:val="20"/>
                <w:color w:val="auto"/>
              </w:rPr>
            </w:pPr>
          </w:p>
        </w:tc>
        <w:tc>
          <w:tcPr>
            <w:tcW w:w="9240" w:type="dxa"/>
            <w:vAlign w:val="bottom"/>
          </w:tcPr>
          <w:p>
            <w:pPr>
              <w:ind w:left="100"/>
              <w:spacing w:after="0" w:line="232"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1040" w:type="dxa"/>
            <w:vAlign w:val="bottom"/>
            <w:tcBorders>
              <w:right w:val="single" w:sz="8" w:color="auto"/>
            </w:tcBorders>
            <w:gridSpan w:val="2"/>
            <w:vMerge w:val="restart"/>
          </w:tcPr>
          <w:p>
            <w:pPr>
              <w:jc w:val="center"/>
              <w:ind w:right="183"/>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6"/>
                <w:szCs w:val="6"/>
                <w:color w:val="auto"/>
              </w:rPr>
            </w:pPr>
          </w:p>
        </w:tc>
        <w:tc>
          <w:tcPr>
            <w:tcW w:w="9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1040" w:type="dxa"/>
            <w:vAlign w:val="bottom"/>
            <w:tcBorders>
              <w:right w:val="single" w:sz="8" w:color="auto"/>
            </w:tcBorders>
            <w:gridSpan w:val="2"/>
            <w:vMerge w:val="continue"/>
          </w:tcPr>
          <w:p>
            <w:pPr>
              <w:spacing w:after="0"/>
              <w:rPr>
                <w:sz w:val="11"/>
                <w:szCs w:val="11"/>
                <w:color w:val="auto"/>
              </w:rPr>
            </w:pPr>
          </w:p>
        </w:tc>
        <w:tc>
          <w:tcPr>
            <w:tcW w:w="3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8.</w:t>
            </w:r>
          </w:p>
        </w:tc>
        <w:tc>
          <w:tcPr>
            <w:tcW w:w="92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7"/>
        </w:trPr>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340" w:type="dxa"/>
            <w:vAlign w:val="bottom"/>
            <w:tcBorders>
              <w:right w:val="single" w:sz="8" w:color="auto"/>
            </w:tcBorders>
            <w:vMerge w:val="continue"/>
          </w:tcPr>
          <w:p>
            <w:pPr>
              <w:spacing w:after="0"/>
              <w:rPr>
                <w:sz w:val="8"/>
                <w:szCs w:val="8"/>
                <w:color w:val="auto"/>
              </w:rPr>
            </w:pPr>
          </w:p>
        </w:tc>
        <w:tc>
          <w:tcPr>
            <w:tcW w:w="9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9"/>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11,218,033</w:t>
            </w:r>
          </w:p>
        </w:tc>
        <w:tc>
          <w:tcPr>
            <w:tcW w:w="0" w:type="dxa"/>
            <w:vAlign w:val="bottom"/>
          </w:tcPr>
          <w:p>
            <w:pPr>
              <w:spacing w:after="0"/>
              <w:rPr>
                <w:sz w:val="1"/>
                <w:szCs w:val="1"/>
                <w:color w:val="auto"/>
              </w:rPr>
            </w:pPr>
          </w:p>
        </w:tc>
      </w:tr>
      <w:tr>
        <w:trPr>
          <w:trHeight w:val="230"/>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00" w:type="dxa"/>
            <w:vAlign w:val="bottom"/>
            <w:tcBorders>
              <w:right w:val="single" w:sz="8" w:color="auto"/>
            </w:tcBorders>
          </w:tcPr>
          <w:p>
            <w:pPr>
              <w:spacing w:after="0"/>
              <w:rPr>
                <w:sz w:val="19"/>
                <w:szCs w:val="19"/>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w w:val="91"/>
              </w:rPr>
              <w:t>AGGREGATE</w:t>
            </w:r>
          </w:p>
        </w:tc>
        <w:tc>
          <w:tcPr>
            <w:tcW w:w="9240" w:type="dxa"/>
            <w:vAlign w:val="bottom"/>
          </w:tcPr>
          <w:p>
            <w:pPr>
              <w:ind w:left="4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79"/>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b w:val="1"/>
                <w:bCs w:val="1"/>
                <w:color w:val="auto"/>
                <w:w w:val="94"/>
              </w:rPr>
              <w:t>11,218,033</w:t>
            </w: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00" w:type="dxa"/>
            <w:vAlign w:val="bottom"/>
            <w:tcBorders>
              <w:right w:val="single" w:sz="8" w:color="auto"/>
            </w:tcBorders>
          </w:tcPr>
          <w:p>
            <w:pPr>
              <w:spacing w:after="0"/>
              <w:rPr>
                <w:sz w:val="24"/>
                <w:szCs w:val="24"/>
                <w:color w:val="auto"/>
              </w:rPr>
            </w:pPr>
          </w:p>
        </w:tc>
        <w:tc>
          <w:tcPr>
            <w:tcW w:w="1042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3"/>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200" w:type="dxa"/>
            <w:vAlign w:val="bottom"/>
            <w:tcBorders>
              <w:right w:val="single" w:sz="8" w:color="auto"/>
            </w:tcBorders>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79"/>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19.7%</w:t>
            </w: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00" w:type="dxa"/>
            <w:vAlign w:val="bottom"/>
            <w:tcBorders>
              <w:right w:val="single" w:sz="8" w:color="auto"/>
            </w:tcBorders>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79"/>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HC</w:t>
            </w: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type w:val="continuous"/>
        </w:sectPr>
      </w:pPr>
    </w:p>
    <w:bookmarkStart w:id="6" w:name="page7"/>
    <w:bookmarkEnd w:id="6"/>
    <w:p>
      <w:pPr>
        <w:spacing w:after="0" w:line="1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CUSIP No. 413197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2322830" cy="2400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2283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-198755</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7</w:t>
      </w:r>
      <w:r>
        <w:rPr>
          <w:rFonts w:ascii="Arial" w:cs="Arial" w:eastAsia="Arial" w:hAnsi="Arial"/>
          <w:sz w:val="15"/>
          <w:szCs w:val="15"/>
          <w:b w:val="1"/>
          <w:bCs w:val="1"/>
          <w:color w:val="auto"/>
        </w:rPr>
        <w:t xml:space="preserve"> of </w:t>
      </w:r>
      <w:r>
        <w:rPr>
          <w:rFonts w:ascii="Arial" w:cs="Arial" w:eastAsia="Arial" w:hAnsi="Arial"/>
          <w:sz w:val="15"/>
          <w:szCs w:val="15"/>
          <w:b w:val="1"/>
          <w:bCs w:val="1"/>
          <w:u w:val="single" w:color="auto"/>
          <w:color w:val="auto"/>
        </w:rPr>
        <w:t>12</w:t>
      </w:r>
      <w:r>
        <w:rPr>
          <w:rFonts w:ascii="Arial" w:cs="Arial" w:eastAsia="Arial" w:hAnsi="Arial"/>
          <w:sz w:val="15"/>
          <w:szCs w:val="15"/>
          <w:b w:val="1"/>
          <w:bCs w:val="1"/>
          <w:color w:val="auto"/>
        </w:rPr>
        <w:t xml:space="preserve">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-106045</wp:posOffset>
            </wp:positionV>
            <wp:extent cx="2314575" cy="2400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14575"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680" w:space="720"/>
            <w:col w:w="2400" w:space="720"/>
            <w:col w:w="2500"/>
          </w:cols>
          <w:pgMar w:left="440" w:top="270" w:right="439" w:bottom="1440" w:gutter="0" w:footer="0" w:header="0"/>
        </w:sectPr>
      </w:pPr>
    </w:p>
    <w:p>
      <w:pPr>
        <w:spacing w:after="0" w:line="143" w:lineRule="exact"/>
        <w:rPr>
          <w:sz w:val="20"/>
          <w:szCs w:val="20"/>
          <w:color w:val="auto"/>
        </w:rPr>
      </w:pPr>
    </w:p>
    <w:p>
      <w:pPr>
        <w:ind w:left="240"/>
        <w:spacing w:after="0"/>
        <w:tabs>
          <w:tab w:leader="none" w:pos="68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003415" cy="5546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03415" cy="55460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b w:val="1"/>
                <w:bCs w:val="1"/>
                <w:color w:val="auto"/>
              </w:rPr>
              <w:t>Antonio J. Gracias</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b w:val="1"/>
                <w:bCs w:val="1"/>
                <w:color w:val="auto"/>
              </w:rPr>
              <w:t>2.</w:t>
            </w:r>
          </w:p>
        </w:tc>
        <w:tc>
          <w:tcPr>
            <w:tcW w:w="200" w:type="dxa"/>
            <w:vAlign w:val="bottom"/>
          </w:tcPr>
          <w:p>
            <w:pPr>
              <w:spacing w:after="0"/>
              <w:rPr>
                <w:sz w:val="14"/>
                <w:szCs w:val="14"/>
                <w:color w:val="auto"/>
              </w:rPr>
            </w:pPr>
          </w:p>
        </w:tc>
        <w:tc>
          <w:tcPr>
            <w:tcW w:w="10420" w:type="dxa"/>
            <w:vAlign w:val="bottom"/>
            <w:gridSpan w:val="3"/>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580" w:type="dxa"/>
            <w:vAlign w:val="bottom"/>
            <w:gridSpan w:val="2"/>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2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0" w:type="dxa"/>
            <w:vAlign w:val="bottom"/>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00" w:type="dxa"/>
            <w:vAlign w:val="bottom"/>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79"/>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U.S.</w:t>
            </w: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5.</w:t>
            </w:r>
          </w:p>
        </w:tc>
        <w:tc>
          <w:tcPr>
            <w:tcW w:w="92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79"/>
        </w:trPr>
        <w:tc>
          <w:tcPr>
            <w:tcW w:w="144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48"/>
        </w:trPr>
        <w:tc>
          <w:tcPr>
            <w:tcW w:w="1440" w:type="dxa"/>
            <w:vAlign w:val="bottom"/>
            <w:tcBorders>
              <w:right w:val="single" w:sz="8" w:color="auto"/>
            </w:tcBorders>
            <w:gridSpan w:val="3"/>
            <w:vMerge w:val="continue"/>
          </w:tcPr>
          <w:p>
            <w:pPr>
              <w:spacing w:after="0"/>
              <w:rPr>
                <w:sz w:val="4"/>
                <w:szCs w:val="4"/>
                <w:color w:val="auto"/>
              </w:rPr>
            </w:pPr>
          </w:p>
        </w:tc>
        <w:tc>
          <w:tcPr>
            <w:tcW w:w="3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6.</w:t>
            </w:r>
          </w:p>
        </w:tc>
        <w:tc>
          <w:tcPr>
            <w:tcW w:w="924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1040" w:type="dxa"/>
            <w:vAlign w:val="bottom"/>
            <w:tcBorders>
              <w:right w:val="single" w:sz="8" w:color="auto"/>
            </w:tcBorders>
            <w:gridSpan w:val="2"/>
            <w:vMerge w:val="restart"/>
          </w:tcPr>
          <w:p>
            <w:pPr>
              <w:jc w:val="center"/>
              <w:ind w:right="183"/>
              <w:spacing w:after="0"/>
              <w:rPr>
                <w:sz w:val="20"/>
                <w:szCs w:val="20"/>
                <w:color w:val="auto"/>
              </w:rPr>
            </w:pPr>
            <w:r>
              <w:rPr>
                <w:rFonts w:ascii="Arial" w:cs="Arial" w:eastAsia="Arial" w:hAnsi="Arial"/>
                <w:sz w:val="18"/>
                <w:szCs w:val="18"/>
                <w:color w:val="auto"/>
                <w:w w:val="91"/>
              </w:rPr>
              <w:t>SHARES</w:t>
            </w:r>
          </w:p>
        </w:tc>
        <w:tc>
          <w:tcPr>
            <w:tcW w:w="340" w:type="dxa"/>
            <w:vAlign w:val="bottom"/>
            <w:tcBorders>
              <w:right w:val="single" w:sz="8" w:color="auto"/>
            </w:tcBorders>
            <w:vMerge w:val="continue"/>
          </w:tcPr>
          <w:p>
            <w:pPr>
              <w:spacing w:after="0"/>
              <w:rPr>
                <w:sz w:val="15"/>
                <w:szCs w:val="15"/>
                <w:color w:val="auto"/>
              </w:rPr>
            </w:pPr>
          </w:p>
        </w:tc>
        <w:tc>
          <w:tcPr>
            <w:tcW w:w="9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1040" w:type="dxa"/>
            <w:vAlign w:val="bottom"/>
            <w:tcBorders>
              <w:right w:val="single" w:sz="8" w:color="auto"/>
            </w:tcBorders>
            <w:gridSpan w:val="2"/>
            <w:vMerge w:val="continue"/>
          </w:tcPr>
          <w:p>
            <w:pPr>
              <w:spacing w:after="0"/>
              <w:rPr>
                <w:sz w:val="3"/>
                <w:szCs w:val="3"/>
                <w:color w:val="auto"/>
              </w:rPr>
            </w:pPr>
          </w:p>
        </w:tc>
        <w:tc>
          <w:tcPr>
            <w:tcW w:w="340" w:type="dxa"/>
            <w:vAlign w:val="bottom"/>
            <w:tcBorders>
              <w:right w:val="single" w:sz="8" w:color="auto"/>
            </w:tcBorders>
          </w:tcPr>
          <w:p>
            <w:pPr>
              <w:spacing w:after="0"/>
              <w:rPr>
                <w:sz w:val="3"/>
                <w:szCs w:val="3"/>
                <w:color w:val="auto"/>
              </w:rPr>
            </w:pPr>
          </w:p>
        </w:tc>
        <w:tc>
          <w:tcPr>
            <w:tcW w:w="9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9240" w:type="dxa"/>
            <w:vAlign w:val="bottom"/>
            <w:vMerge w:val="restart"/>
          </w:tcPr>
          <w:p>
            <w:pPr>
              <w:ind w:left="100"/>
              <w:spacing w:after="0"/>
              <w:rPr>
                <w:sz w:val="20"/>
                <w:szCs w:val="20"/>
                <w:color w:val="auto"/>
              </w:rPr>
            </w:pPr>
            <w:r>
              <w:rPr>
                <w:rFonts w:ascii="Arial" w:cs="Arial" w:eastAsia="Arial" w:hAnsi="Arial"/>
                <w:sz w:val="22"/>
                <w:szCs w:val="22"/>
                <w:b w:val="1"/>
                <w:bCs w:val="1"/>
                <w:color w:val="auto"/>
              </w:rPr>
              <w:t>11,218,033</w:t>
            </w:r>
          </w:p>
        </w:tc>
        <w:tc>
          <w:tcPr>
            <w:tcW w:w="0" w:type="dxa"/>
            <w:vAlign w:val="bottom"/>
          </w:tcPr>
          <w:p>
            <w:pPr>
              <w:spacing w:after="0"/>
              <w:rPr>
                <w:sz w:val="1"/>
                <w:szCs w:val="1"/>
                <w:color w:val="auto"/>
              </w:rPr>
            </w:pPr>
          </w:p>
        </w:tc>
      </w:tr>
      <w:tr>
        <w:trPr>
          <w:trHeight w:val="230"/>
        </w:trPr>
        <w:tc>
          <w:tcPr>
            <w:tcW w:w="144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340" w:type="dxa"/>
            <w:vAlign w:val="bottom"/>
            <w:tcBorders>
              <w:bottom w:val="single" w:sz="8" w:color="auto"/>
              <w:right w:val="single" w:sz="8" w:color="auto"/>
            </w:tcBorders>
          </w:tcPr>
          <w:p>
            <w:pPr>
              <w:spacing w:after="0"/>
              <w:rPr>
                <w:sz w:val="20"/>
                <w:szCs w:val="20"/>
                <w:color w:val="auto"/>
              </w:rPr>
            </w:pPr>
          </w:p>
        </w:tc>
        <w:tc>
          <w:tcPr>
            <w:tcW w:w="92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83"/>
              <w:spacing w:after="0" w:line="182" w:lineRule="exact"/>
              <w:rPr>
                <w:sz w:val="20"/>
                <w:szCs w:val="20"/>
                <w:color w:val="auto"/>
              </w:rPr>
            </w:pPr>
            <w:r>
              <w:rPr>
                <w:rFonts w:ascii="Arial" w:cs="Arial" w:eastAsia="Arial" w:hAnsi="Arial"/>
                <w:sz w:val="18"/>
                <w:szCs w:val="18"/>
                <w:color w:val="auto"/>
                <w:w w:val="95"/>
              </w:rPr>
              <w:t>EACH</w:t>
            </w:r>
          </w:p>
        </w:tc>
        <w:tc>
          <w:tcPr>
            <w:tcW w:w="34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18"/>
                <w:szCs w:val="18"/>
                <w:b w:val="1"/>
                <w:bCs w:val="1"/>
                <w:color w:val="auto"/>
              </w:rPr>
              <w:t>7.</w:t>
            </w:r>
          </w:p>
        </w:tc>
        <w:tc>
          <w:tcPr>
            <w:tcW w:w="924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REPORTING</w:t>
            </w:r>
          </w:p>
        </w:tc>
        <w:tc>
          <w:tcPr>
            <w:tcW w:w="340" w:type="dxa"/>
            <w:vAlign w:val="bottom"/>
            <w:tcBorders>
              <w:right w:val="single" w:sz="8" w:color="auto"/>
            </w:tcBorders>
          </w:tcPr>
          <w:p>
            <w:pPr>
              <w:spacing w:after="0"/>
              <w:rPr>
                <w:sz w:val="18"/>
                <w:szCs w:val="18"/>
                <w:color w:val="auto"/>
              </w:rPr>
            </w:pPr>
          </w:p>
        </w:tc>
        <w:tc>
          <w:tcPr>
            <w:tcW w:w="9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1040" w:type="dxa"/>
            <w:vAlign w:val="bottom"/>
            <w:tcBorders>
              <w:right w:val="single" w:sz="8" w:color="auto"/>
            </w:tcBorders>
            <w:gridSpan w:val="2"/>
          </w:tcPr>
          <w:p>
            <w:pPr>
              <w:jc w:val="center"/>
              <w:ind w:right="183"/>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20"/>
                <w:szCs w:val="20"/>
                <w:color w:val="auto"/>
              </w:rPr>
            </w:pPr>
          </w:p>
        </w:tc>
        <w:tc>
          <w:tcPr>
            <w:tcW w:w="9240" w:type="dxa"/>
            <w:vAlign w:val="bottom"/>
          </w:tcPr>
          <w:p>
            <w:pPr>
              <w:ind w:left="100"/>
              <w:spacing w:after="0" w:line="232"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1040" w:type="dxa"/>
            <w:vAlign w:val="bottom"/>
            <w:tcBorders>
              <w:right w:val="single" w:sz="8" w:color="auto"/>
            </w:tcBorders>
            <w:gridSpan w:val="2"/>
            <w:vMerge w:val="restart"/>
          </w:tcPr>
          <w:p>
            <w:pPr>
              <w:jc w:val="center"/>
              <w:ind w:right="183"/>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6"/>
                <w:szCs w:val="6"/>
                <w:color w:val="auto"/>
              </w:rPr>
            </w:pPr>
          </w:p>
        </w:tc>
        <w:tc>
          <w:tcPr>
            <w:tcW w:w="9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1040" w:type="dxa"/>
            <w:vAlign w:val="bottom"/>
            <w:tcBorders>
              <w:right w:val="single" w:sz="8" w:color="auto"/>
            </w:tcBorders>
            <w:gridSpan w:val="2"/>
            <w:vMerge w:val="continue"/>
          </w:tcPr>
          <w:p>
            <w:pPr>
              <w:spacing w:after="0"/>
              <w:rPr>
                <w:sz w:val="11"/>
                <w:szCs w:val="11"/>
                <w:color w:val="auto"/>
              </w:rPr>
            </w:pPr>
          </w:p>
        </w:tc>
        <w:tc>
          <w:tcPr>
            <w:tcW w:w="3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8.</w:t>
            </w:r>
          </w:p>
        </w:tc>
        <w:tc>
          <w:tcPr>
            <w:tcW w:w="92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7"/>
        </w:trPr>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340" w:type="dxa"/>
            <w:vAlign w:val="bottom"/>
            <w:tcBorders>
              <w:right w:val="single" w:sz="8" w:color="auto"/>
            </w:tcBorders>
            <w:vMerge w:val="continue"/>
          </w:tcPr>
          <w:p>
            <w:pPr>
              <w:spacing w:after="0"/>
              <w:rPr>
                <w:sz w:val="8"/>
                <w:szCs w:val="8"/>
                <w:color w:val="auto"/>
              </w:rPr>
            </w:pPr>
          </w:p>
        </w:tc>
        <w:tc>
          <w:tcPr>
            <w:tcW w:w="9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9"/>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11,218,033</w:t>
            </w:r>
          </w:p>
        </w:tc>
        <w:tc>
          <w:tcPr>
            <w:tcW w:w="0" w:type="dxa"/>
            <w:vAlign w:val="bottom"/>
          </w:tcPr>
          <w:p>
            <w:pPr>
              <w:spacing w:after="0"/>
              <w:rPr>
                <w:sz w:val="1"/>
                <w:szCs w:val="1"/>
                <w:color w:val="auto"/>
              </w:rPr>
            </w:pPr>
          </w:p>
        </w:tc>
      </w:tr>
      <w:tr>
        <w:trPr>
          <w:trHeight w:val="230"/>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00" w:type="dxa"/>
            <w:vAlign w:val="bottom"/>
            <w:tcBorders>
              <w:right w:val="single" w:sz="8" w:color="auto"/>
            </w:tcBorders>
          </w:tcPr>
          <w:p>
            <w:pPr>
              <w:spacing w:after="0"/>
              <w:rPr>
                <w:sz w:val="19"/>
                <w:szCs w:val="19"/>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w w:val="91"/>
              </w:rPr>
              <w:t>AGGREGATE</w:t>
            </w:r>
          </w:p>
        </w:tc>
        <w:tc>
          <w:tcPr>
            <w:tcW w:w="9240" w:type="dxa"/>
            <w:vAlign w:val="bottom"/>
          </w:tcPr>
          <w:p>
            <w:pPr>
              <w:ind w:left="4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79"/>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b w:val="1"/>
                <w:bCs w:val="1"/>
                <w:color w:val="auto"/>
                <w:w w:val="94"/>
              </w:rPr>
              <w:t>11,218,033</w:t>
            </w: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00" w:type="dxa"/>
            <w:vAlign w:val="bottom"/>
            <w:tcBorders>
              <w:right w:val="single" w:sz="8" w:color="auto"/>
            </w:tcBorders>
          </w:tcPr>
          <w:p>
            <w:pPr>
              <w:spacing w:after="0"/>
              <w:rPr>
                <w:sz w:val="24"/>
                <w:szCs w:val="24"/>
                <w:color w:val="auto"/>
              </w:rPr>
            </w:pPr>
          </w:p>
        </w:tc>
        <w:tc>
          <w:tcPr>
            <w:tcW w:w="1042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3"/>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200" w:type="dxa"/>
            <w:vAlign w:val="bottom"/>
            <w:tcBorders>
              <w:right w:val="single" w:sz="8" w:color="auto"/>
            </w:tcBorders>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79"/>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19.7%</w:t>
            </w: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00" w:type="dxa"/>
            <w:vAlign w:val="bottom"/>
            <w:tcBorders>
              <w:right w:val="single" w:sz="8" w:color="auto"/>
            </w:tcBorders>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79"/>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IN</w:t>
            </w: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type w:val="continuous"/>
        </w:sectPr>
      </w:pPr>
    </w:p>
    <w:bookmarkStart w:id="7" w:name="page8"/>
    <w:bookmarkEnd w:id="7"/>
    <w:p>
      <w:pPr>
        <w:spacing w:after="0" w:line="1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CUSIP No. 413197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2322830" cy="240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2283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-198755</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8</w:t>
      </w:r>
      <w:r>
        <w:rPr>
          <w:rFonts w:ascii="Arial" w:cs="Arial" w:eastAsia="Arial" w:hAnsi="Arial"/>
          <w:sz w:val="15"/>
          <w:szCs w:val="15"/>
          <w:b w:val="1"/>
          <w:bCs w:val="1"/>
          <w:color w:val="auto"/>
        </w:rPr>
        <w:t xml:space="preserve"> of </w:t>
      </w:r>
      <w:r>
        <w:rPr>
          <w:rFonts w:ascii="Arial" w:cs="Arial" w:eastAsia="Arial" w:hAnsi="Arial"/>
          <w:sz w:val="15"/>
          <w:szCs w:val="15"/>
          <w:b w:val="1"/>
          <w:bCs w:val="1"/>
          <w:u w:val="single" w:color="auto"/>
          <w:color w:val="auto"/>
        </w:rPr>
        <w:t>12</w:t>
      </w:r>
      <w:r>
        <w:rPr>
          <w:rFonts w:ascii="Arial" w:cs="Arial" w:eastAsia="Arial" w:hAnsi="Arial"/>
          <w:sz w:val="15"/>
          <w:szCs w:val="15"/>
          <w:b w:val="1"/>
          <w:bCs w:val="1"/>
          <w:color w:val="auto"/>
        </w:rPr>
        <w:t xml:space="preserve">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-106045</wp:posOffset>
            </wp:positionV>
            <wp:extent cx="2314575" cy="2400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14575"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680" w:space="720"/>
            <w:col w:w="2400" w:space="720"/>
            <w:col w:w="2500"/>
          </w:cols>
          <w:pgMar w:left="440" w:top="270" w:right="439" w:bottom="1440" w:gutter="0" w:footer="0" w:header="0"/>
        </w:sectPr>
      </w:pPr>
    </w:p>
    <w:p>
      <w:pPr>
        <w:spacing w:after="0" w:line="143" w:lineRule="exact"/>
        <w:rPr>
          <w:sz w:val="20"/>
          <w:szCs w:val="20"/>
          <w:color w:val="auto"/>
        </w:rPr>
      </w:pPr>
    </w:p>
    <w:p>
      <w:pPr>
        <w:ind w:left="240"/>
        <w:spacing w:after="0"/>
        <w:tabs>
          <w:tab w:leader="none" w:pos="68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003415" cy="55460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03415" cy="55460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b w:val="1"/>
                <w:bCs w:val="1"/>
                <w:color w:val="auto"/>
              </w:rPr>
              <w:t>Juan A. Sabater</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b w:val="1"/>
                <w:bCs w:val="1"/>
                <w:color w:val="auto"/>
              </w:rPr>
              <w:t>2.</w:t>
            </w:r>
          </w:p>
        </w:tc>
        <w:tc>
          <w:tcPr>
            <w:tcW w:w="200" w:type="dxa"/>
            <w:vAlign w:val="bottom"/>
          </w:tcPr>
          <w:p>
            <w:pPr>
              <w:spacing w:after="0"/>
              <w:rPr>
                <w:sz w:val="14"/>
                <w:szCs w:val="14"/>
                <w:color w:val="auto"/>
              </w:rPr>
            </w:pPr>
          </w:p>
        </w:tc>
        <w:tc>
          <w:tcPr>
            <w:tcW w:w="10420" w:type="dxa"/>
            <w:vAlign w:val="bottom"/>
            <w:gridSpan w:val="3"/>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580" w:type="dxa"/>
            <w:vAlign w:val="bottom"/>
            <w:gridSpan w:val="2"/>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2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0" w:type="dxa"/>
            <w:vAlign w:val="bottom"/>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00" w:type="dxa"/>
            <w:vAlign w:val="bottom"/>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79"/>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U.S.</w:t>
            </w: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5.</w:t>
            </w:r>
          </w:p>
        </w:tc>
        <w:tc>
          <w:tcPr>
            <w:tcW w:w="92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79"/>
        </w:trPr>
        <w:tc>
          <w:tcPr>
            <w:tcW w:w="144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48"/>
        </w:trPr>
        <w:tc>
          <w:tcPr>
            <w:tcW w:w="1440" w:type="dxa"/>
            <w:vAlign w:val="bottom"/>
            <w:tcBorders>
              <w:right w:val="single" w:sz="8" w:color="auto"/>
            </w:tcBorders>
            <w:gridSpan w:val="3"/>
            <w:vMerge w:val="continue"/>
          </w:tcPr>
          <w:p>
            <w:pPr>
              <w:spacing w:after="0"/>
              <w:rPr>
                <w:sz w:val="4"/>
                <w:szCs w:val="4"/>
                <w:color w:val="auto"/>
              </w:rPr>
            </w:pPr>
          </w:p>
        </w:tc>
        <w:tc>
          <w:tcPr>
            <w:tcW w:w="3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6.</w:t>
            </w:r>
          </w:p>
        </w:tc>
        <w:tc>
          <w:tcPr>
            <w:tcW w:w="924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1040" w:type="dxa"/>
            <w:vAlign w:val="bottom"/>
            <w:tcBorders>
              <w:right w:val="single" w:sz="8" w:color="auto"/>
            </w:tcBorders>
            <w:gridSpan w:val="2"/>
            <w:vMerge w:val="restart"/>
          </w:tcPr>
          <w:p>
            <w:pPr>
              <w:jc w:val="center"/>
              <w:ind w:right="183"/>
              <w:spacing w:after="0"/>
              <w:rPr>
                <w:sz w:val="20"/>
                <w:szCs w:val="20"/>
                <w:color w:val="auto"/>
              </w:rPr>
            </w:pPr>
            <w:r>
              <w:rPr>
                <w:rFonts w:ascii="Arial" w:cs="Arial" w:eastAsia="Arial" w:hAnsi="Arial"/>
                <w:sz w:val="18"/>
                <w:szCs w:val="18"/>
                <w:color w:val="auto"/>
                <w:w w:val="91"/>
              </w:rPr>
              <w:t>SHARES</w:t>
            </w:r>
          </w:p>
        </w:tc>
        <w:tc>
          <w:tcPr>
            <w:tcW w:w="340" w:type="dxa"/>
            <w:vAlign w:val="bottom"/>
            <w:tcBorders>
              <w:right w:val="single" w:sz="8" w:color="auto"/>
            </w:tcBorders>
            <w:vMerge w:val="continue"/>
          </w:tcPr>
          <w:p>
            <w:pPr>
              <w:spacing w:after="0"/>
              <w:rPr>
                <w:sz w:val="15"/>
                <w:szCs w:val="15"/>
                <w:color w:val="auto"/>
              </w:rPr>
            </w:pPr>
          </w:p>
        </w:tc>
        <w:tc>
          <w:tcPr>
            <w:tcW w:w="9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1040" w:type="dxa"/>
            <w:vAlign w:val="bottom"/>
            <w:tcBorders>
              <w:right w:val="single" w:sz="8" w:color="auto"/>
            </w:tcBorders>
            <w:gridSpan w:val="2"/>
            <w:vMerge w:val="continue"/>
          </w:tcPr>
          <w:p>
            <w:pPr>
              <w:spacing w:after="0"/>
              <w:rPr>
                <w:sz w:val="3"/>
                <w:szCs w:val="3"/>
                <w:color w:val="auto"/>
              </w:rPr>
            </w:pPr>
          </w:p>
        </w:tc>
        <w:tc>
          <w:tcPr>
            <w:tcW w:w="340" w:type="dxa"/>
            <w:vAlign w:val="bottom"/>
            <w:tcBorders>
              <w:right w:val="single" w:sz="8" w:color="auto"/>
            </w:tcBorders>
          </w:tcPr>
          <w:p>
            <w:pPr>
              <w:spacing w:after="0"/>
              <w:rPr>
                <w:sz w:val="3"/>
                <w:szCs w:val="3"/>
                <w:color w:val="auto"/>
              </w:rPr>
            </w:pPr>
          </w:p>
        </w:tc>
        <w:tc>
          <w:tcPr>
            <w:tcW w:w="9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9240" w:type="dxa"/>
            <w:vAlign w:val="bottom"/>
            <w:vMerge w:val="restart"/>
          </w:tcPr>
          <w:p>
            <w:pPr>
              <w:ind w:left="100"/>
              <w:spacing w:after="0"/>
              <w:rPr>
                <w:sz w:val="20"/>
                <w:szCs w:val="20"/>
                <w:color w:val="auto"/>
              </w:rPr>
            </w:pPr>
            <w:r>
              <w:rPr>
                <w:rFonts w:ascii="Arial" w:cs="Arial" w:eastAsia="Arial" w:hAnsi="Arial"/>
                <w:sz w:val="22"/>
                <w:szCs w:val="22"/>
                <w:b w:val="1"/>
                <w:bCs w:val="1"/>
                <w:color w:val="auto"/>
              </w:rPr>
              <w:t>11,218,033</w:t>
            </w:r>
          </w:p>
        </w:tc>
        <w:tc>
          <w:tcPr>
            <w:tcW w:w="0" w:type="dxa"/>
            <w:vAlign w:val="bottom"/>
          </w:tcPr>
          <w:p>
            <w:pPr>
              <w:spacing w:after="0"/>
              <w:rPr>
                <w:sz w:val="1"/>
                <w:szCs w:val="1"/>
                <w:color w:val="auto"/>
              </w:rPr>
            </w:pPr>
          </w:p>
        </w:tc>
      </w:tr>
      <w:tr>
        <w:trPr>
          <w:trHeight w:val="230"/>
        </w:trPr>
        <w:tc>
          <w:tcPr>
            <w:tcW w:w="144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340" w:type="dxa"/>
            <w:vAlign w:val="bottom"/>
            <w:tcBorders>
              <w:bottom w:val="single" w:sz="8" w:color="auto"/>
              <w:right w:val="single" w:sz="8" w:color="auto"/>
            </w:tcBorders>
          </w:tcPr>
          <w:p>
            <w:pPr>
              <w:spacing w:after="0"/>
              <w:rPr>
                <w:sz w:val="20"/>
                <w:szCs w:val="20"/>
                <w:color w:val="auto"/>
              </w:rPr>
            </w:pPr>
          </w:p>
        </w:tc>
        <w:tc>
          <w:tcPr>
            <w:tcW w:w="92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83"/>
              <w:spacing w:after="0" w:line="182" w:lineRule="exact"/>
              <w:rPr>
                <w:sz w:val="20"/>
                <w:szCs w:val="20"/>
                <w:color w:val="auto"/>
              </w:rPr>
            </w:pPr>
            <w:r>
              <w:rPr>
                <w:rFonts w:ascii="Arial" w:cs="Arial" w:eastAsia="Arial" w:hAnsi="Arial"/>
                <w:sz w:val="18"/>
                <w:szCs w:val="18"/>
                <w:color w:val="auto"/>
                <w:w w:val="95"/>
              </w:rPr>
              <w:t>EACH</w:t>
            </w:r>
          </w:p>
        </w:tc>
        <w:tc>
          <w:tcPr>
            <w:tcW w:w="34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18"/>
                <w:szCs w:val="18"/>
                <w:b w:val="1"/>
                <w:bCs w:val="1"/>
                <w:color w:val="auto"/>
              </w:rPr>
              <w:t>7.</w:t>
            </w:r>
          </w:p>
        </w:tc>
        <w:tc>
          <w:tcPr>
            <w:tcW w:w="924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REPORTING</w:t>
            </w:r>
          </w:p>
        </w:tc>
        <w:tc>
          <w:tcPr>
            <w:tcW w:w="340" w:type="dxa"/>
            <w:vAlign w:val="bottom"/>
            <w:tcBorders>
              <w:right w:val="single" w:sz="8" w:color="auto"/>
            </w:tcBorders>
          </w:tcPr>
          <w:p>
            <w:pPr>
              <w:spacing w:after="0"/>
              <w:rPr>
                <w:sz w:val="18"/>
                <w:szCs w:val="18"/>
                <w:color w:val="auto"/>
              </w:rPr>
            </w:pPr>
          </w:p>
        </w:tc>
        <w:tc>
          <w:tcPr>
            <w:tcW w:w="9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1040" w:type="dxa"/>
            <w:vAlign w:val="bottom"/>
            <w:tcBorders>
              <w:right w:val="single" w:sz="8" w:color="auto"/>
            </w:tcBorders>
            <w:gridSpan w:val="2"/>
          </w:tcPr>
          <w:p>
            <w:pPr>
              <w:jc w:val="center"/>
              <w:ind w:right="183"/>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20"/>
                <w:szCs w:val="20"/>
                <w:color w:val="auto"/>
              </w:rPr>
            </w:pPr>
          </w:p>
        </w:tc>
        <w:tc>
          <w:tcPr>
            <w:tcW w:w="9240" w:type="dxa"/>
            <w:vAlign w:val="bottom"/>
          </w:tcPr>
          <w:p>
            <w:pPr>
              <w:ind w:left="100"/>
              <w:spacing w:after="0" w:line="232"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1040" w:type="dxa"/>
            <w:vAlign w:val="bottom"/>
            <w:tcBorders>
              <w:right w:val="single" w:sz="8" w:color="auto"/>
            </w:tcBorders>
            <w:gridSpan w:val="2"/>
            <w:vMerge w:val="restart"/>
          </w:tcPr>
          <w:p>
            <w:pPr>
              <w:jc w:val="center"/>
              <w:ind w:right="183"/>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6"/>
                <w:szCs w:val="6"/>
                <w:color w:val="auto"/>
              </w:rPr>
            </w:pPr>
          </w:p>
        </w:tc>
        <w:tc>
          <w:tcPr>
            <w:tcW w:w="9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1040" w:type="dxa"/>
            <w:vAlign w:val="bottom"/>
            <w:tcBorders>
              <w:right w:val="single" w:sz="8" w:color="auto"/>
            </w:tcBorders>
            <w:gridSpan w:val="2"/>
            <w:vMerge w:val="continue"/>
          </w:tcPr>
          <w:p>
            <w:pPr>
              <w:spacing w:after="0"/>
              <w:rPr>
                <w:sz w:val="11"/>
                <w:szCs w:val="11"/>
                <w:color w:val="auto"/>
              </w:rPr>
            </w:pPr>
          </w:p>
        </w:tc>
        <w:tc>
          <w:tcPr>
            <w:tcW w:w="3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8.</w:t>
            </w:r>
          </w:p>
        </w:tc>
        <w:tc>
          <w:tcPr>
            <w:tcW w:w="92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7"/>
        </w:trPr>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340" w:type="dxa"/>
            <w:vAlign w:val="bottom"/>
            <w:tcBorders>
              <w:right w:val="single" w:sz="8" w:color="auto"/>
            </w:tcBorders>
            <w:vMerge w:val="continue"/>
          </w:tcPr>
          <w:p>
            <w:pPr>
              <w:spacing w:after="0"/>
              <w:rPr>
                <w:sz w:val="8"/>
                <w:szCs w:val="8"/>
                <w:color w:val="auto"/>
              </w:rPr>
            </w:pPr>
          </w:p>
        </w:tc>
        <w:tc>
          <w:tcPr>
            <w:tcW w:w="9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9"/>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11,218,033</w:t>
            </w:r>
          </w:p>
        </w:tc>
        <w:tc>
          <w:tcPr>
            <w:tcW w:w="0" w:type="dxa"/>
            <w:vAlign w:val="bottom"/>
          </w:tcPr>
          <w:p>
            <w:pPr>
              <w:spacing w:after="0"/>
              <w:rPr>
                <w:sz w:val="1"/>
                <w:szCs w:val="1"/>
                <w:color w:val="auto"/>
              </w:rPr>
            </w:pPr>
          </w:p>
        </w:tc>
      </w:tr>
      <w:tr>
        <w:trPr>
          <w:trHeight w:val="230"/>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00" w:type="dxa"/>
            <w:vAlign w:val="bottom"/>
            <w:tcBorders>
              <w:right w:val="single" w:sz="8" w:color="auto"/>
            </w:tcBorders>
          </w:tcPr>
          <w:p>
            <w:pPr>
              <w:spacing w:after="0"/>
              <w:rPr>
                <w:sz w:val="19"/>
                <w:szCs w:val="19"/>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w w:val="91"/>
              </w:rPr>
              <w:t>AGGREGATE</w:t>
            </w:r>
          </w:p>
        </w:tc>
        <w:tc>
          <w:tcPr>
            <w:tcW w:w="9240" w:type="dxa"/>
            <w:vAlign w:val="bottom"/>
          </w:tcPr>
          <w:p>
            <w:pPr>
              <w:ind w:left="4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79"/>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b w:val="1"/>
                <w:bCs w:val="1"/>
                <w:color w:val="auto"/>
                <w:w w:val="94"/>
              </w:rPr>
              <w:t>11,218,033</w:t>
            </w: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00" w:type="dxa"/>
            <w:vAlign w:val="bottom"/>
            <w:tcBorders>
              <w:right w:val="single" w:sz="8" w:color="auto"/>
            </w:tcBorders>
          </w:tcPr>
          <w:p>
            <w:pPr>
              <w:spacing w:after="0"/>
              <w:rPr>
                <w:sz w:val="24"/>
                <w:szCs w:val="24"/>
                <w:color w:val="auto"/>
              </w:rPr>
            </w:pPr>
          </w:p>
        </w:tc>
        <w:tc>
          <w:tcPr>
            <w:tcW w:w="1042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3"/>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200" w:type="dxa"/>
            <w:vAlign w:val="bottom"/>
            <w:tcBorders>
              <w:right w:val="single" w:sz="8" w:color="auto"/>
            </w:tcBorders>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79"/>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19.7%</w:t>
            </w: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00" w:type="dxa"/>
            <w:vAlign w:val="bottom"/>
            <w:tcBorders>
              <w:right w:val="single" w:sz="8" w:color="auto"/>
            </w:tcBorders>
          </w:tcPr>
          <w:p>
            <w:pPr>
              <w:spacing w:after="0"/>
              <w:rPr>
                <w:sz w:val="19"/>
                <w:szCs w:val="19"/>
                <w:color w:val="auto"/>
              </w:rPr>
            </w:pPr>
          </w:p>
        </w:tc>
        <w:tc>
          <w:tcPr>
            <w:tcW w:w="1042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79"/>
        </w:trPr>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IN</w:t>
            </w:r>
          </w:p>
        </w:tc>
        <w:tc>
          <w:tcPr>
            <w:tcW w:w="3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type w:val="continuous"/>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54"/>
        </w:trPr>
        <w:tc>
          <w:tcPr>
            <w:tcW w:w="3660" w:type="dxa"/>
            <w:vAlign w:val="bottom"/>
            <w:tcBorders>
              <w:top w:val="single" w:sz="8" w:color="auto"/>
              <w:left w:val="single" w:sz="8" w:color="auto"/>
              <w:right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CUSIP No. 413197 104</w:t>
            </w:r>
          </w:p>
        </w:tc>
        <w:tc>
          <w:tcPr>
            <w:tcW w:w="1540" w:type="dxa"/>
            <w:vAlign w:val="bottom"/>
          </w:tcPr>
          <w:p>
            <w:pPr>
              <w:spacing w:after="0"/>
              <w:rPr>
                <w:sz w:val="22"/>
                <w:szCs w:val="22"/>
                <w:color w:val="auto"/>
              </w:rPr>
            </w:pPr>
          </w:p>
        </w:tc>
        <w:tc>
          <w:tcPr>
            <w:tcW w:w="1020" w:type="dxa"/>
            <w:vAlign w:val="bottom"/>
          </w:tcPr>
          <w:p>
            <w:pPr>
              <w:ind w:left="200"/>
              <w:spacing w:after="0"/>
              <w:rPr>
                <w:sz w:val="20"/>
                <w:szCs w:val="20"/>
                <w:color w:val="auto"/>
              </w:rPr>
            </w:pPr>
            <w:r>
              <w:rPr>
                <w:rFonts w:ascii="Arial" w:cs="Arial" w:eastAsia="Arial" w:hAnsi="Arial"/>
                <w:sz w:val="18"/>
                <w:szCs w:val="18"/>
                <w:b w:val="1"/>
                <w:bCs w:val="1"/>
                <w:color w:val="auto"/>
              </w:rPr>
              <w:t>13G</w:t>
            </w:r>
          </w:p>
        </w:tc>
      </w:tr>
      <w:tr>
        <w:trPr>
          <w:trHeight w:val="110"/>
        </w:trPr>
        <w:tc>
          <w:tcPr>
            <w:tcW w:w="1040" w:type="dxa"/>
            <w:vAlign w:val="bottom"/>
            <w:tcBorders>
              <w:left w:val="single" w:sz="8" w:color="auto"/>
              <w:bottom w:val="single" w:sz="8" w:color="auto"/>
            </w:tcBorders>
          </w:tcPr>
          <w:p>
            <w:pPr>
              <w:spacing w:after="0"/>
              <w:rPr>
                <w:sz w:val="9"/>
                <w:szCs w:val="9"/>
                <w:color w:val="auto"/>
              </w:rPr>
            </w:pPr>
          </w:p>
        </w:tc>
        <w:tc>
          <w:tcPr>
            <w:tcW w:w="2620" w:type="dxa"/>
            <w:vAlign w:val="bottom"/>
            <w:tcBorders>
              <w:bottom w:val="single" w:sz="8" w:color="auto"/>
              <w:right w:val="single" w:sz="8" w:color="auto"/>
            </w:tcBorders>
          </w:tcPr>
          <w:p>
            <w:pPr>
              <w:spacing w:after="0"/>
              <w:rPr>
                <w:sz w:val="9"/>
                <w:szCs w:val="9"/>
                <w:color w:val="auto"/>
              </w:rPr>
            </w:pPr>
          </w:p>
        </w:tc>
        <w:tc>
          <w:tcPr>
            <w:tcW w:w="154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4160" w:type="dxa"/>
            <w:vAlign w:val="bottom"/>
            <w:gridSpan w:val="2"/>
          </w:tcPr>
          <w:p>
            <w:pPr>
              <w:ind w:left="300"/>
              <w:spacing w:after="0"/>
              <w:rPr>
                <w:sz w:val="20"/>
                <w:szCs w:val="20"/>
                <w:color w:val="auto"/>
              </w:rPr>
            </w:pPr>
            <w:r>
              <w:rPr>
                <w:rFonts w:ascii="Arial" w:cs="Arial" w:eastAsia="Arial" w:hAnsi="Arial"/>
                <w:sz w:val="18"/>
                <w:szCs w:val="18"/>
                <w:b w:val="1"/>
                <w:bCs w:val="1"/>
                <w:color w:val="auto"/>
              </w:rPr>
              <w:t>Name of Issuer:</w:t>
            </w:r>
          </w:p>
        </w:tc>
        <w:tc>
          <w:tcPr>
            <w:tcW w:w="1020" w:type="dxa"/>
            <w:vAlign w:val="bottom"/>
          </w:tcPr>
          <w:p>
            <w:pPr>
              <w:spacing w:after="0"/>
              <w:rPr>
                <w:sz w:val="24"/>
                <w:szCs w:val="24"/>
                <w:color w:val="auto"/>
              </w:rPr>
            </w:pPr>
          </w:p>
        </w:tc>
      </w:tr>
      <w:tr>
        <w:trPr>
          <w:trHeight w:val="324"/>
        </w:trPr>
        <w:tc>
          <w:tcPr>
            <w:tcW w:w="1040" w:type="dxa"/>
            <w:vAlign w:val="bottom"/>
          </w:tcPr>
          <w:p>
            <w:pPr>
              <w:spacing w:after="0"/>
              <w:rPr>
                <w:sz w:val="24"/>
                <w:szCs w:val="24"/>
                <w:color w:val="auto"/>
              </w:rPr>
            </w:pPr>
          </w:p>
        </w:tc>
        <w:tc>
          <w:tcPr>
            <w:tcW w:w="4160" w:type="dxa"/>
            <w:vAlign w:val="bottom"/>
            <w:gridSpan w:val="2"/>
          </w:tcPr>
          <w:p>
            <w:pPr>
              <w:ind w:left="300"/>
              <w:spacing w:after="0"/>
              <w:rPr>
                <w:sz w:val="20"/>
                <w:szCs w:val="20"/>
                <w:color w:val="auto"/>
              </w:rPr>
            </w:pPr>
            <w:r>
              <w:rPr>
                <w:rFonts w:ascii="Arial" w:cs="Arial" w:eastAsia="Arial" w:hAnsi="Arial"/>
                <w:sz w:val="18"/>
                <w:szCs w:val="18"/>
                <w:color w:val="auto"/>
                <w:w w:val="96"/>
              </w:rPr>
              <w:t>Harmony Biosciences Holdings, Inc. (the “Issuer”)</w:t>
            </w:r>
          </w:p>
        </w:tc>
        <w:tc>
          <w:tcPr>
            <w:tcW w:w="1020" w:type="dxa"/>
            <w:vAlign w:val="bottom"/>
          </w:tcPr>
          <w:p>
            <w:pPr>
              <w:spacing w:after="0"/>
              <w:rPr>
                <w:sz w:val="24"/>
                <w:szCs w:val="24"/>
                <w:color w:val="auto"/>
              </w:rPr>
            </w:pPr>
          </w:p>
        </w:tc>
      </w:tr>
      <w:tr>
        <w:trPr>
          <w:trHeight w:val="540"/>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4160" w:type="dxa"/>
            <w:vAlign w:val="bottom"/>
            <w:gridSpan w:val="2"/>
          </w:tcPr>
          <w:p>
            <w:pPr>
              <w:ind w:left="300"/>
              <w:spacing w:after="0"/>
              <w:rPr>
                <w:sz w:val="20"/>
                <w:szCs w:val="20"/>
                <w:color w:val="auto"/>
              </w:rPr>
            </w:pPr>
            <w:r>
              <w:rPr>
                <w:rFonts w:ascii="Arial" w:cs="Arial" w:eastAsia="Arial" w:hAnsi="Arial"/>
                <w:sz w:val="18"/>
                <w:szCs w:val="18"/>
                <w:b w:val="1"/>
                <w:bCs w:val="1"/>
                <w:color w:val="auto"/>
                <w:w w:val="93"/>
              </w:rPr>
              <w:t>Address of Issuer’s Principal Executive Offices:</w:t>
            </w:r>
          </w:p>
        </w:tc>
        <w:tc>
          <w:tcPr>
            <w:tcW w:w="1020" w:type="dxa"/>
            <w:vAlign w:val="bottom"/>
          </w:tcPr>
          <w:p>
            <w:pPr>
              <w:spacing w:after="0"/>
              <w:rPr>
                <w:sz w:val="24"/>
                <w:szCs w:val="24"/>
                <w:color w:val="auto"/>
              </w:rPr>
            </w:pPr>
          </w:p>
        </w:tc>
      </w:tr>
      <w:tr>
        <w:trPr>
          <w:trHeight w:val="324"/>
        </w:trPr>
        <w:tc>
          <w:tcPr>
            <w:tcW w:w="1040" w:type="dxa"/>
            <w:vAlign w:val="bottom"/>
          </w:tcPr>
          <w:p>
            <w:pPr>
              <w:spacing w:after="0"/>
              <w:rPr>
                <w:sz w:val="24"/>
                <w:szCs w:val="24"/>
                <w:color w:val="auto"/>
              </w:rPr>
            </w:pPr>
          </w:p>
        </w:tc>
        <w:tc>
          <w:tcPr>
            <w:tcW w:w="5180" w:type="dxa"/>
            <w:vAlign w:val="bottom"/>
            <w:gridSpan w:val="3"/>
          </w:tcPr>
          <w:p>
            <w:pPr>
              <w:ind w:left="300"/>
              <w:spacing w:after="0"/>
              <w:rPr>
                <w:sz w:val="20"/>
                <w:szCs w:val="20"/>
                <w:color w:val="auto"/>
              </w:rPr>
            </w:pPr>
            <w:r>
              <w:rPr>
                <w:rFonts w:ascii="Arial" w:cs="Arial" w:eastAsia="Arial" w:hAnsi="Arial"/>
                <w:sz w:val="18"/>
                <w:szCs w:val="18"/>
                <w:color w:val="auto"/>
                <w:w w:val="90"/>
              </w:rPr>
              <w:t>630 W. Germantown Pike, Plymouth Meeting, Pennsylvania, 19462</w:t>
            </w:r>
          </w:p>
        </w:tc>
      </w:tr>
      <w:tr>
        <w:trPr>
          <w:trHeight w:val="540"/>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4160" w:type="dxa"/>
            <w:vAlign w:val="bottom"/>
            <w:gridSpan w:val="2"/>
          </w:tcPr>
          <w:p>
            <w:pPr>
              <w:ind w:left="300"/>
              <w:spacing w:after="0"/>
              <w:rPr>
                <w:sz w:val="20"/>
                <w:szCs w:val="20"/>
                <w:color w:val="auto"/>
              </w:rPr>
            </w:pPr>
            <w:r>
              <w:rPr>
                <w:rFonts w:ascii="Arial" w:cs="Arial" w:eastAsia="Arial" w:hAnsi="Arial"/>
                <w:sz w:val="18"/>
                <w:szCs w:val="18"/>
                <w:b w:val="1"/>
                <w:bCs w:val="1"/>
                <w:color w:val="auto"/>
              </w:rPr>
              <w:t>Name of Person Filing:</w:t>
            </w:r>
          </w:p>
        </w:tc>
        <w:tc>
          <w:tcPr>
            <w:tcW w:w="1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9</w:t>
      </w:r>
      <w:r>
        <w:rPr>
          <w:rFonts w:ascii="Arial" w:cs="Arial" w:eastAsia="Arial" w:hAnsi="Arial"/>
          <w:sz w:val="15"/>
          <w:szCs w:val="15"/>
          <w:b w:val="1"/>
          <w:bCs w:val="1"/>
          <w:color w:val="auto"/>
        </w:rPr>
        <w:t xml:space="preserve"> of </w:t>
      </w:r>
      <w:r>
        <w:rPr>
          <w:rFonts w:ascii="Arial" w:cs="Arial" w:eastAsia="Arial" w:hAnsi="Arial"/>
          <w:sz w:val="15"/>
          <w:szCs w:val="15"/>
          <w:b w:val="1"/>
          <w:bCs w:val="1"/>
          <w:u w:val="single" w:color="auto"/>
          <w:color w:val="auto"/>
        </w:rPr>
        <w:t>12</w:t>
      </w:r>
      <w:r>
        <w:rPr>
          <w:rFonts w:ascii="Arial" w:cs="Arial" w:eastAsia="Arial" w:hAnsi="Arial"/>
          <w:sz w:val="15"/>
          <w:szCs w:val="15"/>
          <w:b w:val="1"/>
          <w:bCs w:val="1"/>
          <w:color w:val="auto"/>
        </w:rPr>
        <w:t xml:space="preserve">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-106045</wp:posOffset>
            </wp:positionV>
            <wp:extent cx="2314575" cy="2400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14575" cy="240030"/>
                    </a:xfrm>
                    <a:prstGeom prst="rect">
                      <a:avLst/>
                    </a:prstGeom>
                    <a:noFill/>
                  </pic:spPr>
                </pic:pic>
              </a:graphicData>
            </a:graphic>
          </wp:anchor>
        </w:drawing>
      </w:r>
    </w:p>
    <w:p>
      <w:pPr>
        <w:spacing w:after="0" w:line="2396" w:lineRule="exact"/>
        <w:rPr>
          <w:sz w:val="20"/>
          <w:szCs w:val="20"/>
          <w:color w:val="auto"/>
        </w:rPr>
      </w:pPr>
    </w:p>
    <w:p>
      <w:pPr>
        <w:sectPr>
          <w:pgSz w:w="11900" w:h="16838" w:orient="portrait"/>
          <w:cols w:equalWidth="0" w:num="2">
            <w:col w:w="7800" w:space="720"/>
            <w:col w:w="2360"/>
          </w:cols>
          <w:pgMar w:left="440" w:top="268" w:right="579" w:bottom="1440" w:gutter="0" w:footer="0" w:header="0"/>
        </w:sect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p>
        </w:tc>
        <w:tc>
          <w:tcPr>
            <w:tcW w:w="9840" w:type="dxa"/>
            <w:vAlign w:val="bottom"/>
            <w:gridSpan w:val="3"/>
          </w:tcPr>
          <w:p>
            <w:pPr>
              <w:ind w:left="300"/>
              <w:spacing w:after="0"/>
              <w:rPr>
                <w:sz w:val="20"/>
                <w:szCs w:val="20"/>
                <w:color w:val="auto"/>
              </w:rPr>
            </w:pPr>
            <w:r>
              <w:rPr>
                <w:rFonts w:ascii="Arial" w:cs="Arial" w:eastAsia="Arial" w:hAnsi="Arial"/>
                <w:sz w:val="18"/>
                <w:szCs w:val="18"/>
                <w:color w:val="auto"/>
                <w:w w:val="94"/>
              </w:rPr>
              <w:t>Each of the following is hereinafter individually referred to as a “Reporting Person” and collectively as the “Reporting Persons.”</w:t>
            </w:r>
          </w:p>
        </w:tc>
      </w:tr>
      <w:tr>
        <w:trPr>
          <w:trHeight w:val="338"/>
        </w:trPr>
        <w:tc>
          <w:tcPr>
            <w:tcW w:w="1040" w:type="dxa"/>
            <w:vAlign w:val="bottom"/>
          </w:tcPr>
          <w:p>
            <w:pPr>
              <w:spacing w:after="0"/>
              <w:rPr>
                <w:sz w:val="24"/>
                <w:szCs w:val="24"/>
                <w:color w:val="auto"/>
              </w:rPr>
            </w:pPr>
          </w:p>
        </w:tc>
        <w:tc>
          <w:tcPr>
            <w:tcW w:w="460" w:type="dxa"/>
            <w:vAlign w:val="bottom"/>
          </w:tcPr>
          <w:p>
            <w:pPr>
              <w:ind w:left="300"/>
              <w:spacing w:after="0"/>
              <w:rPr>
                <w:sz w:val="20"/>
                <w:szCs w:val="20"/>
                <w:color w:val="auto"/>
              </w:rPr>
            </w:pPr>
            <w:r>
              <w:rPr>
                <w:rFonts w:ascii="Arial" w:cs="Arial" w:eastAsia="Arial" w:hAnsi="Arial"/>
                <w:sz w:val="18"/>
                <w:szCs w:val="18"/>
                <w:color w:val="auto"/>
                <w:w w:val="87"/>
              </w:rPr>
              <w:t>1)</w:t>
            </w:r>
          </w:p>
        </w:tc>
        <w:tc>
          <w:tcPr>
            <w:tcW w:w="9380" w:type="dxa"/>
            <w:vAlign w:val="bottom"/>
            <w:gridSpan w:val="2"/>
          </w:tcPr>
          <w:p>
            <w:pPr>
              <w:ind w:left="20"/>
              <w:spacing w:after="0"/>
              <w:rPr>
                <w:sz w:val="20"/>
                <w:szCs w:val="20"/>
                <w:color w:val="auto"/>
              </w:rPr>
            </w:pPr>
            <w:r>
              <w:rPr>
                <w:rFonts w:ascii="Arial" w:cs="Arial" w:eastAsia="Arial" w:hAnsi="Arial"/>
                <w:sz w:val="18"/>
                <w:szCs w:val="18"/>
                <w:color w:val="auto"/>
              </w:rPr>
              <w:t>Valor IV Pharma Holdings, LLC</w:t>
            </w:r>
          </w:p>
        </w:tc>
      </w:tr>
      <w:tr>
        <w:trPr>
          <w:trHeight w:val="338"/>
        </w:trPr>
        <w:tc>
          <w:tcPr>
            <w:tcW w:w="1040" w:type="dxa"/>
            <w:vAlign w:val="bottom"/>
          </w:tcPr>
          <w:p>
            <w:pPr>
              <w:spacing w:after="0"/>
              <w:rPr>
                <w:sz w:val="24"/>
                <w:szCs w:val="24"/>
                <w:color w:val="auto"/>
              </w:rPr>
            </w:pPr>
          </w:p>
        </w:tc>
        <w:tc>
          <w:tcPr>
            <w:tcW w:w="460" w:type="dxa"/>
            <w:vAlign w:val="bottom"/>
          </w:tcPr>
          <w:p>
            <w:pPr>
              <w:ind w:left="300"/>
              <w:spacing w:after="0"/>
              <w:rPr>
                <w:sz w:val="20"/>
                <w:szCs w:val="20"/>
                <w:color w:val="auto"/>
              </w:rPr>
            </w:pPr>
            <w:r>
              <w:rPr>
                <w:rFonts w:ascii="Arial" w:cs="Arial" w:eastAsia="Arial" w:hAnsi="Arial"/>
                <w:sz w:val="18"/>
                <w:szCs w:val="18"/>
                <w:color w:val="auto"/>
                <w:w w:val="87"/>
              </w:rPr>
              <w:t>2)</w:t>
            </w:r>
          </w:p>
        </w:tc>
        <w:tc>
          <w:tcPr>
            <w:tcW w:w="9380" w:type="dxa"/>
            <w:vAlign w:val="bottom"/>
            <w:gridSpan w:val="2"/>
          </w:tcPr>
          <w:p>
            <w:pPr>
              <w:ind w:left="20"/>
              <w:spacing w:after="0"/>
              <w:rPr>
                <w:sz w:val="20"/>
                <w:szCs w:val="20"/>
                <w:color w:val="auto"/>
              </w:rPr>
            </w:pPr>
            <w:r>
              <w:rPr>
                <w:rFonts w:ascii="Arial" w:cs="Arial" w:eastAsia="Arial" w:hAnsi="Arial"/>
                <w:sz w:val="18"/>
                <w:szCs w:val="18"/>
                <w:color w:val="auto"/>
              </w:rPr>
              <w:t>Valor Equity Partners IV L.P.,</w:t>
            </w:r>
          </w:p>
        </w:tc>
      </w:tr>
      <w:tr>
        <w:trPr>
          <w:trHeight w:val="338"/>
        </w:trPr>
        <w:tc>
          <w:tcPr>
            <w:tcW w:w="1040" w:type="dxa"/>
            <w:vAlign w:val="bottom"/>
          </w:tcPr>
          <w:p>
            <w:pPr>
              <w:spacing w:after="0"/>
              <w:rPr>
                <w:sz w:val="24"/>
                <w:szCs w:val="24"/>
                <w:color w:val="auto"/>
              </w:rPr>
            </w:pPr>
          </w:p>
        </w:tc>
        <w:tc>
          <w:tcPr>
            <w:tcW w:w="460" w:type="dxa"/>
            <w:vAlign w:val="bottom"/>
          </w:tcPr>
          <w:p>
            <w:pPr>
              <w:ind w:left="300"/>
              <w:spacing w:after="0"/>
              <w:rPr>
                <w:sz w:val="20"/>
                <w:szCs w:val="20"/>
                <w:color w:val="auto"/>
              </w:rPr>
            </w:pPr>
            <w:r>
              <w:rPr>
                <w:rFonts w:ascii="Arial" w:cs="Arial" w:eastAsia="Arial" w:hAnsi="Arial"/>
                <w:sz w:val="18"/>
                <w:szCs w:val="18"/>
                <w:color w:val="auto"/>
                <w:w w:val="87"/>
              </w:rPr>
              <w:t>3)</w:t>
            </w:r>
          </w:p>
        </w:tc>
        <w:tc>
          <w:tcPr>
            <w:tcW w:w="9380" w:type="dxa"/>
            <w:vAlign w:val="bottom"/>
            <w:gridSpan w:val="2"/>
          </w:tcPr>
          <w:p>
            <w:pPr>
              <w:ind w:left="20"/>
              <w:spacing w:after="0"/>
              <w:rPr>
                <w:sz w:val="20"/>
                <w:szCs w:val="20"/>
                <w:color w:val="auto"/>
              </w:rPr>
            </w:pPr>
            <w:r>
              <w:rPr>
                <w:rFonts w:ascii="Arial" w:cs="Arial" w:eastAsia="Arial" w:hAnsi="Arial"/>
                <w:sz w:val="18"/>
                <w:szCs w:val="18"/>
                <w:color w:val="auto"/>
              </w:rPr>
              <w:t>Valor Equity Partners IV-A L.P.</w:t>
            </w:r>
          </w:p>
        </w:tc>
      </w:tr>
      <w:tr>
        <w:trPr>
          <w:trHeight w:val="338"/>
        </w:trPr>
        <w:tc>
          <w:tcPr>
            <w:tcW w:w="1040" w:type="dxa"/>
            <w:vAlign w:val="bottom"/>
          </w:tcPr>
          <w:p>
            <w:pPr>
              <w:spacing w:after="0"/>
              <w:rPr>
                <w:sz w:val="24"/>
                <w:szCs w:val="24"/>
                <w:color w:val="auto"/>
              </w:rPr>
            </w:pPr>
          </w:p>
        </w:tc>
        <w:tc>
          <w:tcPr>
            <w:tcW w:w="460" w:type="dxa"/>
            <w:vAlign w:val="bottom"/>
          </w:tcPr>
          <w:p>
            <w:pPr>
              <w:ind w:left="300"/>
              <w:spacing w:after="0"/>
              <w:rPr>
                <w:sz w:val="20"/>
                <w:szCs w:val="20"/>
                <w:color w:val="auto"/>
              </w:rPr>
            </w:pPr>
            <w:r>
              <w:rPr>
                <w:rFonts w:ascii="Arial" w:cs="Arial" w:eastAsia="Arial" w:hAnsi="Arial"/>
                <w:sz w:val="18"/>
                <w:szCs w:val="18"/>
                <w:color w:val="auto"/>
                <w:w w:val="87"/>
              </w:rPr>
              <w:t>4)</w:t>
            </w:r>
          </w:p>
        </w:tc>
        <w:tc>
          <w:tcPr>
            <w:tcW w:w="9380" w:type="dxa"/>
            <w:vAlign w:val="bottom"/>
            <w:gridSpan w:val="2"/>
          </w:tcPr>
          <w:p>
            <w:pPr>
              <w:ind w:left="20"/>
              <w:spacing w:after="0"/>
              <w:rPr>
                <w:sz w:val="20"/>
                <w:szCs w:val="20"/>
                <w:color w:val="auto"/>
              </w:rPr>
            </w:pPr>
            <w:r>
              <w:rPr>
                <w:rFonts w:ascii="Arial" w:cs="Arial" w:eastAsia="Arial" w:hAnsi="Arial"/>
                <w:sz w:val="18"/>
                <w:szCs w:val="18"/>
                <w:color w:val="auto"/>
              </w:rPr>
              <w:t>Valor Equity Partners IV-B L.P.</w:t>
            </w:r>
          </w:p>
        </w:tc>
      </w:tr>
      <w:tr>
        <w:trPr>
          <w:trHeight w:val="338"/>
        </w:trPr>
        <w:tc>
          <w:tcPr>
            <w:tcW w:w="1040" w:type="dxa"/>
            <w:vAlign w:val="bottom"/>
          </w:tcPr>
          <w:p>
            <w:pPr>
              <w:spacing w:after="0"/>
              <w:rPr>
                <w:sz w:val="24"/>
                <w:szCs w:val="24"/>
                <w:color w:val="auto"/>
              </w:rPr>
            </w:pPr>
          </w:p>
        </w:tc>
        <w:tc>
          <w:tcPr>
            <w:tcW w:w="460" w:type="dxa"/>
            <w:vAlign w:val="bottom"/>
          </w:tcPr>
          <w:p>
            <w:pPr>
              <w:ind w:left="300"/>
              <w:spacing w:after="0"/>
              <w:rPr>
                <w:sz w:val="20"/>
                <w:szCs w:val="20"/>
                <w:color w:val="auto"/>
              </w:rPr>
            </w:pPr>
            <w:r>
              <w:rPr>
                <w:rFonts w:ascii="Arial" w:cs="Arial" w:eastAsia="Arial" w:hAnsi="Arial"/>
                <w:sz w:val="18"/>
                <w:szCs w:val="18"/>
                <w:color w:val="auto"/>
                <w:w w:val="87"/>
              </w:rPr>
              <w:t>5)</w:t>
            </w:r>
          </w:p>
        </w:tc>
        <w:tc>
          <w:tcPr>
            <w:tcW w:w="9380" w:type="dxa"/>
            <w:vAlign w:val="bottom"/>
            <w:gridSpan w:val="2"/>
          </w:tcPr>
          <w:p>
            <w:pPr>
              <w:ind w:left="20"/>
              <w:spacing w:after="0"/>
              <w:rPr>
                <w:sz w:val="20"/>
                <w:szCs w:val="20"/>
                <w:color w:val="auto"/>
              </w:rPr>
            </w:pPr>
            <w:r>
              <w:rPr>
                <w:rFonts w:ascii="Arial" w:cs="Arial" w:eastAsia="Arial" w:hAnsi="Arial"/>
                <w:sz w:val="18"/>
                <w:szCs w:val="18"/>
                <w:color w:val="auto"/>
              </w:rPr>
              <w:t>Valor Equity Associates IV L.P.</w:t>
            </w:r>
          </w:p>
        </w:tc>
      </w:tr>
      <w:tr>
        <w:trPr>
          <w:trHeight w:val="338"/>
        </w:trPr>
        <w:tc>
          <w:tcPr>
            <w:tcW w:w="1040" w:type="dxa"/>
            <w:vAlign w:val="bottom"/>
          </w:tcPr>
          <w:p>
            <w:pPr>
              <w:spacing w:after="0"/>
              <w:rPr>
                <w:sz w:val="24"/>
                <w:szCs w:val="24"/>
                <w:color w:val="auto"/>
              </w:rPr>
            </w:pPr>
          </w:p>
        </w:tc>
        <w:tc>
          <w:tcPr>
            <w:tcW w:w="460" w:type="dxa"/>
            <w:vAlign w:val="bottom"/>
          </w:tcPr>
          <w:p>
            <w:pPr>
              <w:ind w:left="300"/>
              <w:spacing w:after="0"/>
              <w:rPr>
                <w:sz w:val="20"/>
                <w:szCs w:val="20"/>
                <w:color w:val="auto"/>
              </w:rPr>
            </w:pPr>
            <w:r>
              <w:rPr>
                <w:rFonts w:ascii="Arial" w:cs="Arial" w:eastAsia="Arial" w:hAnsi="Arial"/>
                <w:sz w:val="18"/>
                <w:szCs w:val="18"/>
                <w:color w:val="auto"/>
                <w:w w:val="87"/>
              </w:rPr>
              <w:t>6)</w:t>
            </w:r>
          </w:p>
        </w:tc>
        <w:tc>
          <w:tcPr>
            <w:tcW w:w="9380" w:type="dxa"/>
            <w:vAlign w:val="bottom"/>
            <w:gridSpan w:val="2"/>
          </w:tcPr>
          <w:p>
            <w:pPr>
              <w:ind w:left="20"/>
              <w:spacing w:after="0"/>
              <w:rPr>
                <w:sz w:val="20"/>
                <w:szCs w:val="20"/>
                <w:color w:val="auto"/>
              </w:rPr>
            </w:pPr>
            <w:r>
              <w:rPr>
                <w:rFonts w:ascii="Arial" w:cs="Arial" w:eastAsia="Arial" w:hAnsi="Arial"/>
                <w:sz w:val="18"/>
                <w:szCs w:val="18"/>
                <w:color w:val="auto"/>
              </w:rPr>
              <w:t>Valor Equity Capital IV LLC</w:t>
            </w:r>
          </w:p>
        </w:tc>
      </w:tr>
      <w:tr>
        <w:trPr>
          <w:trHeight w:val="338"/>
        </w:trPr>
        <w:tc>
          <w:tcPr>
            <w:tcW w:w="1040" w:type="dxa"/>
            <w:vAlign w:val="bottom"/>
          </w:tcPr>
          <w:p>
            <w:pPr>
              <w:spacing w:after="0"/>
              <w:rPr>
                <w:sz w:val="24"/>
                <w:szCs w:val="24"/>
                <w:color w:val="auto"/>
              </w:rPr>
            </w:pPr>
          </w:p>
        </w:tc>
        <w:tc>
          <w:tcPr>
            <w:tcW w:w="460" w:type="dxa"/>
            <w:vAlign w:val="bottom"/>
          </w:tcPr>
          <w:p>
            <w:pPr>
              <w:ind w:left="300"/>
              <w:spacing w:after="0"/>
              <w:rPr>
                <w:sz w:val="20"/>
                <w:szCs w:val="20"/>
                <w:color w:val="auto"/>
              </w:rPr>
            </w:pPr>
            <w:r>
              <w:rPr>
                <w:rFonts w:ascii="Arial" w:cs="Arial" w:eastAsia="Arial" w:hAnsi="Arial"/>
                <w:sz w:val="18"/>
                <w:szCs w:val="18"/>
                <w:color w:val="auto"/>
                <w:w w:val="87"/>
              </w:rPr>
              <w:t>7)</w:t>
            </w:r>
          </w:p>
        </w:tc>
        <w:tc>
          <w:tcPr>
            <w:tcW w:w="9380" w:type="dxa"/>
            <w:vAlign w:val="bottom"/>
            <w:gridSpan w:val="2"/>
          </w:tcPr>
          <w:p>
            <w:pPr>
              <w:ind w:left="20"/>
              <w:spacing w:after="0"/>
              <w:rPr>
                <w:sz w:val="20"/>
                <w:szCs w:val="20"/>
                <w:color w:val="auto"/>
              </w:rPr>
            </w:pPr>
            <w:r>
              <w:rPr>
                <w:rFonts w:ascii="Arial" w:cs="Arial" w:eastAsia="Arial" w:hAnsi="Arial"/>
                <w:sz w:val="18"/>
                <w:szCs w:val="18"/>
                <w:color w:val="auto"/>
              </w:rPr>
              <w:t>Valor Management L.P</w:t>
            </w:r>
          </w:p>
        </w:tc>
      </w:tr>
      <w:tr>
        <w:trPr>
          <w:trHeight w:val="338"/>
        </w:trPr>
        <w:tc>
          <w:tcPr>
            <w:tcW w:w="1040" w:type="dxa"/>
            <w:vAlign w:val="bottom"/>
          </w:tcPr>
          <w:p>
            <w:pPr>
              <w:spacing w:after="0"/>
              <w:rPr>
                <w:sz w:val="24"/>
                <w:szCs w:val="24"/>
                <w:color w:val="auto"/>
              </w:rPr>
            </w:pPr>
          </w:p>
        </w:tc>
        <w:tc>
          <w:tcPr>
            <w:tcW w:w="460" w:type="dxa"/>
            <w:vAlign w:val="bottom"/>
          </w:tcPr>
          <w:p>
            <w:pPr>
              <w:ind w:left="300"/>
              <w:spacing w:after="0"/>
              <w:rPr>
                <w:sz w:val="20"/>
                <w:szCs w:val="20"/>
                <w:color w:val="auto"/>
              </w:rPr>
            </w:pPr>
            <w:r>
              <w:rPr>
                <w:rFonts w:ascii="Arial" w:cs="Arial" w:eastAsia="Arial" w:hAnsi="Arial"/>
                <w:sz w:val="18"/>
                <w:szCs w:val="18"/>
                <w:color w:val="auto"/>
                <w:w w:val="87"/>
              </w:rPr>
              <w:t>8)</w:t>
            </w:r>
          </w:p>
        </w:tc>
        <w:tc>
          <w:tcPr>
            <w:tcW w:w="9380" w:type="dxa"/>
            <w:vAlign w:val="bottom"/>
            <w:gridSpan w:val="2"/>
          </w:tcPr>
          <w:p>
            <w:pPr>
              <w:ind w:left="20"/>
              <w:spacing w:after="0"/>
              <w:rPr>
                <w:sz w:val="20"/>
                <w:szCs w:val="20"/>
                <w:color w:val="auto"/>
              </w:rPr>
            </w:pPr>
            <w:r>
              <w:rPr>
                <w:rFonts w:ascii="Arial" w:cs="Arial" w:eastAsia="Arial" w:hAnsi="Arial"/>
                <w:sz w:val="18"/>
                <w:szCs w:val="18"/>
                <w:color w:val="auto"/>
              </w:rPr>
              <w:t>Antonio J. Gracias</w:t>
            </w:r>
          </w:p>
        </w:tc>
      </w:tr>
      <w:tr>
        <w:trPr>
          <w:trHeight w:val="338"/>
        </w:trPr>
        <w:tc>
          <w:tcPr>
            <w:tcW w:w="1040" w:type="dxa"/>
            <w:vAlign w:val="bottom"/>
          </w:tcPr>
          <w:p>
            <w:pPr>
              <w:spacing w:after="0"/>
              <w:rPr>
                <w:sz w:val="24"/>
                <w:szCs w:val="24"/>
                <w:color w:val="auto"/>
              </w:rPr>
            </w:pPr>
          </w:p>
        </w:tc>
        <w:tc>
          <w:tcPr>
            <w:tcW w:w="460" w:type="dxa"/>
            <w:vAlign w:val="bottom"/>
          </w:tcPr>
          <w:p>
            <w:pPr>
              <w:ind w:left="300"/>
              <w:spacing w:after="0"/>
              <w:rPr>
                <w:sz w:val="20"/>
                <w:szCs w:val="20"/>
                <w:color w:val="auto"/>
              </w:rPr>
            </w:pPr>
            <w:r>
              <w:rPr>
                <w:rFonts w:ascii="Arial" w:cs="Arial" w:eastAsia="Arial" w:hAnsi="Arial"/>
                <w:sz w:val="18"/>
                <w:szCs w:val="18"/>
                <w:color w:val="auto"/>
                <w:w w:val="87"/>
              </w:rPr>
              <w:t>9)</w:t>
            </w:r>
          </w:p>
        </w:tc>
        <w:tc>
          <w:tcPr>
            <w:tcW w:w="9380" w:type="dxa"/>
            <w:vAlign w:val="bottom"/>
            <w:gridSpan w:val="2"/>
          </w:tcPr>
          <w:p>
            <w:pPr>
              <w:ind w:left="20"/>
              <w:spacing w:after="0"/>
              <w:rPr>
                <w:sz w:val="20"/>
                <w:szCs w:val="20"/>
                <w:color w:val="auto"/>
              </w:rPr>
            </w:pPr>
            <w:r>
              <w:rPr>
                <w:rFonts w:ascii="Arial" w:cs="Arial" w:eastAsia="Arial" w:hAnsi="Arial"/>
                <w:sz w:val="18"/>
                <w:szCs w:val="18"/>
                <w:color w:val="auto"/>
              </w:rPr>
              <w:t>Juan A. Sabater</w:t>
            </w:r>
          </w:p>
        </w:tc>
      </w:tr>
      <w:tr>
        <w:trPr>
          <w:trHeight w:val="553"/>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9840" w:type="dxa"/>
            <w:vAlign w:val="bottom"/>
            <w:gridSpan w:val="3"/>
          </w:tcPr>
          <w:p>
            <w:pPr>
              <w:ind w:left="30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324"/>
        </w:trPr>
        <w:tc>
          <w:tcPr>
            <w:tcW w:w="1040" w:type="dxa"/>
            <w:vAlign w:val="bottom"/>
          </w:tcPr>
          <w:p>
            <w:pPr>
              <w:spacing w:after="0"/>
              <w:rPr>
                <w:sz w:val="24"/>
                <w:szCs w:val="24"/>
                <w:color w:val="auto"/>
              </w:rPr>
            </w:pPr>
          </w:p>
        </w:tc>
        <w:tc>
          <w:tcPr>
            <w:tcW w:w="9840" w:type="dxa"/>
            <w:vAlign w:val="bottom"/>
            <w:gridSpan w:val="3"/>
          </w:tcPr>
          <w:p>
            <w:pPr>
              <w:ind w:left="300"/>
              <w:spacing w:after="0"/>
              <w:rPr>
                <w:sz w:val="20"/>
                <w:szCs w:val="20"/>
                <w:color w:val="auto"/>
              </w:rPr>
            </w:pPr>
            <w:r>
              <w:rPr>
                <w:rFonts w:ascii="Arial" w:cs="Arial" w:eastAsia="Arial" w:hAnsi="Arial"/>
                <w:sz w:val="18"/>
                <w:szCs w:val="18"/>
                <w:color w:val="auto"/>
              </w:rPr>
              <w:t>The address of each Reporting Person is 875 North Michigan Avenue, Suite 3214, Chicago, IL 60611</w:t>
            </w:r>
          </w:p>
        </w:tc>
      </w:tr>
      <w:tr>
        <w:trPr>
          <w:trHeight w:val="540"/>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9840" w:type="dxa"/>
            <w:vAlign w:val="bottom"/>
            <w:gridSpan w:val="3"/>
          </w:tcPr>
          <w:p>
            <w:pPr>
              <w:ind w:left="300"/>
              <w:spacing w:after="0"/>
              <w:rPr>
                <w:sz w:val="20"/>
                <w:szCs w:val="20"/>
                <w:color w:val="auto"/>
              </w:rPr>
            </w:pPr>
            <w:r>
              <w:rPr>
                <w:rFonts w:ascii="Arial" w:cs="Arial" w:eastAsia="Arial" w:hAnsi="Arial"/>
                <w:sz w:val="18"/>
                <w:szCs w:val="18"/>
                <w:b w:val="1"/>
                <w:bCs w:val="1"/>
                <w:color w:val="auto"/>
              </w:rPr>
              <w:t>Citizenship:</w:t>
            </w:r>
          </w:p>
        </w:tc>
      </w:tr>
      <w:tr>
        <w:trPr>
          <w:trHeight w:val="324"/>
        </w:trPr>
        <w:tc>
          <w:tcPr>
            <w:tcW w:w="1040" w:type="dxa"/>
            <w:vAlign w:val="bottom"/>
          </w:tcPr>
          <w:p>
            <w:pPr>
              <w:spacing w:after="0"/>
              <w:rPr>
                <w:sz w:val="24"/>
                <w:szCs w:val="24"/>
                <w:color w:val="auto"/>
              </w:rPr>
            </w:pPr>
          </w:p>
        </w:tc>
        <w:tc>
          <w:tcPr>
            <w:tcW w:w="9840" w:type="dxa"/>
            <w:vAlign w:val="bottom"/>
            <w:gridSpan w:val="3"/>
          </w:tcPr>
          <w:p>
            <w:pPr>
              <w:ind w:left="300"/>
              <w:spacing w:after="0"/>
              <w:rPr>
                <w:sz w:val="20"/>
                <w:szCs w:val="20"/>
                <w:color w:val="auto"/>
              </w:rPr>
            </w:pPr>
            <w:r>
              <w:rPr>
                <w:rFonts w:ascii="Arial" w:cs="Arial" w:eastAsia="Arial" w:hAnsi="Arial"/>
                <w:sz w:val="18"/>
                <w:szCs w:val="18"/>
                <w:color w:val="auto"/>
                <w:w w:val="89"/>
              </w:rPr>
              <w:t>Each entity Reporting Person is organized under the laws of Delaware. Messrs. Gracias and Sabater are citizens of the United States.</w:t>
            </w:r>
          </w:p>
        </w:tc>
      </w:tr>
      <w:tr>
        <w:trPr>
          <w:trHeight w:val="540"/>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9840" w:type="dxa"/>
            <w:vAlign w:val="bottom"/>
            <w:gridSpan w:val="3"/>
          </w:tcPr>
          <w:p>
            <w:pPr>
              <w:ind w:left="300"/>
              <w:spacing w:after="0"/>
              <w:rPr>
                <w:sz w:val="20"/>
                <w:szCs w:val="20"/>
                <w:color w:val="auto"/>
              </w:rPr>
            </w:pPr>
            <w:r>
              <w:rPr>
                <w:rFonts w:ascii="Arial" w:cs="Arial" w:eastAsia="Arial" w:hAnsi="Arial"/>
                <w:sz w:val="18"/>
                <w:szCs w:val="18"/>
                <w:b w:val="1"/>
                <w:bCs w:val="1"/>
                <w:color w:val="auto"/>
              </w:rPr>
              <w:t>Title of Class of Securities:</w:t>
            </w:r>
          </w:p>
        </w:tc>
      </w:tr>
      <w:tr>
        <w:trPr>
          <w:trHeight w:val="324"/>
        </w:trPr>
        <w:tc>
          <w:tcPr>
            <w:tcW w:w="1040" w:type="dxa"/>
            <w:vAlign w:val="bottom"/>
          </w:tcPr>
          <w:p>
            <w:pPr>
              <w:spacing w:after="0"/>
              <w:rPr>
                <w:sz w:val="24"/>
                <w:szCs w:val="24"/>
                <w:color w:val="auto"/>
              </w:rPr>
            </w:pPr>
          </w:p>
        </w:tc>
        <w:tc>
          <w:tcPr>
            <w:tcW w:w="9840" w:type="dxa"/>
            <w:vAlign w:val="bottom"/>
            <w:gridSpan w:val="3"/>
          </w:tcPr>
          <w:p>
            <w:pPr>
              <w:ind w:left="300"/>
              <w:spacing w:after="0"/>
              <w:rPr>
                <w:sz w:val="20"/>
                <w:szCs w:val="20"/>
                <w:color w:val="auto"/>
              </w:rPr>
            </w:pPr>
            <w:r>
              <w:rPr>
                <w:rFonts w:ascii="Arial" w:cs="Arial" w:eastAsia="Arial" w:hAnsi="Arial"/>
                <w:sz w:val="18"/>
                <w:szCs w:val="18"/>
                <w:color w:val="auto"/>
              </w:rPr>
              <w:t>Common Stock, $0.00001 par value per share</w:t>
            </w:r>
          </w:p>
        </w:tc>
      </w:tr>
      <w:tr>
        <w:trPr>
          <w:trHeight w:val="540"/>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9840" w:type="dxa"/>
            <w:vAlign w:val="bottom"/>
            <w:gridSpan w:val="3"/>
          </w:tcPr>
          <w:p>
            <w:pPr>
              <w:ind w:left="300"/>
              <w:spacing w:after="0"/>
              <w:rPr>
                <w:sz w:val="20"/>
                <w:szCs w:val="20"/>
                <w:color w:val="auto"/>
              </w:rPr>
            </w:pPr>
            <w:r>
              <w:rPr>
                <w:rFonts w:ascii="Arial" w:cs="Arial" w:eastAsia="Arial" w:hAnsi="Arial"/>
                <w:sz w:val="18"/>
                <w:szCs w:val="18"/>
                <w:b w:val="1"/>
                <w:bCs w:val="1"/>
                <w:color w:val="auto"/>
              </w:rPr>
              <w:t>CUSIP Number:</w:t>
            </w:r>
          </w:p>
        </w:tc>
      </w:tr>
      <w:tr>
        <w:trPr>
          <w:trHeight w:val="324"/>
        </w:trPr>
        <w:tc>
          <w:tcPr>
            <w:tcW w:w="1040" w:type="dxa"/>
            <w:vAlign w:val="bottom"/>
          </w:tcPr>
          <w:p>
            <w:pPr>
              <w:spacing w:after="0"/>
              <w:rPr>
                <w:sz w:val="24"/>
                <w:szCs w:val="24"/>
                <w:color w:val="auto"/>
              </w:rPr>
            </w:pPr>
          </w:p>
        </w:tc>
        <w:tc>
          <w:tcPr>
            <w:tcW w:w="9840" w:type="dxa"/>
            <w:vAlign w:val="bottom"/>
            <w:gridSpan w:val="3"/>
          </w:tcPr>
          <w:p>
            <w:pPr>
              <w:ind w:left="300"/>
              <w:spacing w:after="0"/>
              <w:rPr>
                <w:sz w:val="20"/>
                <w:szCs w:val="20"/>
                <w:color w:val="auto"/>
              </w:rPr>
            </w:pPr>
            <w:r>
              <w:rPr>
                <w:rFonts w:ascii="Arial" w:cs="Arial" w:eastAsia="Arial" w:hAnsi="Arial"/>
                <w:sz w:val="18"/>
                <w:szCs w:val="18"/>
                <w:color w:val="auto"/>
              </w:rPr>
              <w:t>413197104</w:t>
            </w:r>
          </w:p>
        </w:tc>
      </w:tr>
      <w:tr>
        <w:trPr>
          <w:trHeight w:val="540"/>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840" w:type="dxa"/>
            <w:vAlign w:val="bottom"/>
            <w:gridSpan w:val="3"/>
          </w:tcPr>
          <w:p>
            <w:pPr>
              <w:ind w:left="300"/>
              <w:spacing w:after="0"/>
              <w:rPr>
                <w:sz w:val="20"/>
                <w:szCs w:val="20"/>
                <w:color w:val="auto"/>
              </w:rPr>
            </w:pPr>
            <w:r>
              <w:rPr>
                <w:rFonts w:ascii="Arial" w:cs="Arial" w:eastAsia="Arial" w:hAnsi="Arial"/>
                <w:sz w:val="18"/>
                <w:szCs w:val="18"/>
                <w:b w:val="1"/>
                <w:bCs w:val="1"/>
                <w:color w:val="auto"/>
              </w:rPr>
              <w:t>If this statement is filed pursuant to §§240.13d-1(b) or 240.13d-2(b) or (c), indicate type of person filing.</w:t>
            </w:r>
          </w:p>
        </w:tc>
      </w:tr>
      <w:tr>
        <w:trPr>
          <w:trHeight w:val="324"/>
        </w:trPr>
        <w:tc>
          <w:tcPr>
            <w:tcW w:w="1040" w:type="dxa"/>
            <w:vAlign w:val="bottom"/>
          </w:tcPr>
          <w:p>
            <w:pPr>
              <w:spacing w:after="0"/>
              <w:rPr>
                <w:sz w:val="24"/>
                <w:szCs w:val="24"/>
                <w:color w:val="auto"/>
              </w:rPr>
            </w:pPr>
          </w:p>
        </w:tc>
        <w:tc>
          <w:tcPr>
            <w:tcW w:w="9840" w:type="dxa"/>
            <w:vAlign w:val="bottom"/>
            <w:gridSpan w:val="3"/>
          </w:tcPr>
          <w:p>
            <w:pPr>
              <w:ind w:left="300"/>
              <w:spacing w:after="0"/>
              <w:rPr>
                <w:sz w:val="20"/>
                <w:szCs w:val="20"/>
                <w:color w:val="auto"/>
              </w:rPr>
            </w:pPr>
            <w:r>
              <w:rPr>
                <w:rFonts w:ascii="Arial" w:cs="Arial" w:eastAsia="Arial" w:hAnsi="Arial"/>
                <w:sz w:val="18"/>
                <w:szCs w:val="18"/>
                <w:color w:val="auto"/>
              </w:rPr>
              <w:t>Not applicable.</w:t>
            </w:r>
          </w:p>
        </w:tc>
      </w:tr>
      <w:tr>
        <w:trPr>
          <w:trHeight w:val="540"/>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840" w:type="dxa"/>
            <w:vAlign w:val="bottom"/>
            <w:gridSpan w:val="3"/>
          </w:tcPr>
          <w:p>
            <w:pPr>
              <w:ind w:left="300"/>
              <w:spacing w:after="0"/>
              <w:rPr>
                <w:sz w:val="20"/>
                <w:szCs w:val="20"/>
                <w:color w:val="auto"/>
              </w:rPr>
            </w:pPr>
            <w:r>
              <w:rPr>
                <w:rFonts w:ascii="Arial" w:cs="Arial" w:eastAsia="Arial" w:hAnsi="Arial"/>
                <w:sz w:val="18"/>
                <w:szCs w:val="18"/>
                <w:b w:val="1"/>
                <w:bCs w:val="1"/>
                <w:color w:val="auto"/>
              </w:rPr>
              <w:t>Ownership.</w:t>
            </w:r>
          </w:p>
        </w:tc>
      </w:tr>
      <w:tr>
        <w:trPr>
          <w:trHeight w:val="324"/>
        </w:trPr>
        <w:tc>
          <w:tcPr>
            <w:tcW w:w="1040" w:type="dxa"/>
            <w:vAlign w:val="bottom"/>
          </w:tcPr>
          <w:p>
            <w:pPr>
              <w:spacing w:after="0"/>
              <w:rPr>
                <w:sz w:val="24"/>
                <w:szCs w:val="24"/>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(a)</w:t>
            </w:r>
          </w:p>
        </w:tc>
        <w:tc>
          <w:tcPr>
            <w:tcW w:w="9180" w:type="dxa"/>
            <w:vAlign w:val="bottom"/>
          </w:tcPr>
          <w:p>
            <w:pPr>
              <w:ind w:left="180"/>
              <w:spacing w:after="0"/>
              <w:rPr>
                <w:sz w:val="20"/>
                <w:szCs w:val="20"/>
                <w:color w:val="auto"/>
              </w:rPr>
            </w:pPr>
            <w:r>
              <w:rPr>
                <w:rFonts w:ascii="Arial" w:cs="Arial" w:eastAsia="Arial" w:hAnsi="Arial"/>
                <w:sz w:val="18"/>
                <w:szCs w:val="18"/>
                <w:color w:val="auto"/>
              </w:rPr>
              <w:t>Amount beneficially owned: See row 9 of the cover pages.</w:t>
            </w:r>
          </w:p>
        </w:tc>
      </w:tr>
      <w:tr>
        <w:trPr>
          <w:trHeight w:val="324"/>
        </w:trPr>
        <w:tc>
          <w:tcPr>
            <w:tcW w:w="1040" w:type="dxa"/>
            <w:vAlign w:val="bottom"/>
          </w:tcPr>
          <w:p>
            <w:pPr>
              <w:spacing w:after="0"/>
              <w:rPr>
                <w:sz w:val="24"/>
                <w:szCs w:val="24"/>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(b)</w:t>
            </w:r>
          </w:p>
        </w:tc>
        <w:tc>
          <w:tcPr>
            <w:tcW w:w="9180" w:type="dxa"/>
            <w:vAlign w:val="bottom"/>
          </w:tcPr>
          <w:p>
            <w:pPr>
              <w:ind w:left="180"/>
              <w:spacing w:after="0"/>
              <w:rPr>
                <w:sz w:val="20"/>
                <w:szCs w:val="20"/>
                <w:color w:val="auto"/>
              </w:rPr>
            </w:pPr>
            <w:r>
              <w:rPr>
                <w:rFonts w:ascii="Arial" w:cs="Arial" w:eastAsia="Arial" w:hAnsi="Arial"/>
                <w:sz w:val="18"/>
                <w:szCs w:val="18"/>
                <w:color w:val="auto"/>
              </w:rPr>
              <w:t>Percent of class: See row 11 of the cover pages.</w:t>
            </w:r>
          </w:p>
        </w:tc>
      </w:tr>
      <w:tr>
        <w:trPr>
          <w:trHeight w:val="324"/>
        </w:trPr>
        <w:tc>
          <w:tcPr>
            <w:tcW w:w="1040" w:type="dxa"/>
            <w:vAlign w:val="bottom"/>
          </w:tcPr>
          <w:p>
            <w:pPr>
              <w:spacing w:after="0"/>
              <w:rPr>
                <w:sz w:val="24"/>
                <w:szCs w:val="24"/>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(c)</w:t>
            </w:r>
          </w:p>
        </w:tc>
        <w:tc>
          <w:tcPr>
            <w:tcW w:w="9180" w:type="dxa"/>
            <w:vAlign w:val="bottom"/>
          </w:tcPr>
          <w:p>
            <w:pPr>
              <w:ind w:left="180"/>
              <w:spacing w:after="0"/>
              <w:rPr>
                <w:sz w:val="20"/>
                <w:szCs w:val="20"/>
                <w:color w:val="auto"/>
              </w:rPr>
            </w:pPr>
            <w:r>
              <w:rPr>
                <w:rFonts w:ascii="Arial" w:cs="Arial" w:eastAsia="Arial" w:hAnsi="Arial"/>
                <w:sz w:val="18"/>
                <w:szCs w:val="18"/>
                <w:color w:val="auto"/>
              </w:rPr>
              <w:t>Number of shares as to which such person has:</w:t>
            </w:r>
          </w:p>
        </w:tc>
      </w:tr>
      <w:tr>
        <w:trPr>
          <w:trHeight w:val="324"/>
        </w:trPr>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180" w:type="dxa"/>
            <w:vAlign w:val="bottom"/>
          </w:tcPr>
          <w:p>
            <w:pPr>
              <w:ind w:left="180"/>
              <w:spacing w:after="0"/>
              <w:rPr>
                <w:sz w:val="20"/>
                <w:szCs w:val="20"/>
                <w:color w:val="auto"/>
              </w:rPr>
            </w:pPr>
            <w:r>
              <w:rPr>
                <w:rFonts w:ascii="Arial" w:cs="Arial" w:eastAsia="Arial" w:hAnsi="Arial"/>
                <w:sz w:val="18"/>
                <w:szCs w:val="18"/>
                <w:color w:val="auto"/>
              </w:rPr>
              <w:t>(i)  Sole power to vote or direct the vote:  See row 5 of the cover pages.</w:t>
            </w:r>
          </w:p>
        </w:tc>
      </w:tr>
      <w:tr>
        <w:trPr>
          <w:trHeight w:val="324"/>
        </w:trPr>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180" w:type="dxa"/>
            <w:vAlign w:val="bottom"/>
          </w:tcPr>
          <w:p>
            <w:pPr>
              <w:ind w:left="180"/>
              <w:spacing w:after="0"/>
              <w:rPr>
                <w:sz w:val="20"/>
                <w:szCs w:val="20"/>
                <w:color w:val="auto"/>
              </w:rPr>
            </w:pPr>
            <w:r>
              <w:rPr>
                <w:rFonts w:ascii="Arial" w:cs="Arial" w:eastAsia="Arial" w:hAnsi="Arial"/>
                <w:sz w:val="18"/>
                <w:szCs w:val="18"/>
                <w:color w:val="auto"/>
              </w:rPr>
              <w:t>(ii)  Shared power to vote or direct the vote:  See row 6 of the cover page.</w:t>
            </w:r>
          </w:p>
        </w:tc>
      </w:tr>
    </w:tbl>
    <w:p>
      <w:pPr>
        <w:sectPr>
          <w:pgSz w:w="11900" w:h="16838" w:orient="portrait"/>
          <w:cols w:equalWidth="0" w:num="1">
            <w:col w:w="10880"/>
          </w:cols>
          <w:pgMar w:left="440" w:top="268" w:right="579" w:bottom="1440" w:gutter="0" w:footer="0" w:header="0"/>
          <w:type w:val="continuous"/>
        </w:sectPr>
      </w:pPr>
    </w:p>
    <w:bookmarkStart w:id="9" w:name="page10"/>
    <w:bookmarkEnd w:id="9"/>
    <w:p>
      <w:pPr>
        <w:spacing w:after="0" w:line="1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CUSIP No. 413197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2322830" cy="2400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2283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-198755</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10</w:t>
      </w:r>
      <w:r>
        <w:rPr>
          <w:rFonts w:ascii="Arial" w:cs="Arial" w:eastAsia="Arial" w:hAnsi="Arial"/>
          <w:sz w:val="15"/>
          <w:szCs w:val="15"/>
          <w:b w:val="1"/>
          <w:bCs w:val="1"/>
          <w:color w:val="auto"/>
        </w:rPr>
        <w:t xml:space="preserve"> of </w:t>
      </w:r>
      <w:r>
        <w:rPr>
          <w:rFonts w:ascii="Arial" w:cs="Arial" w:eastAsia="Arial" w:hAnsi="Arial"/>
          <w:sz w:val="15"/>
          <w:szCs w:val="15"/>
          <w:b w:val="1"/>
          <w:bCs w:val="1"/>
          <w:u w:val="single" w:color="auto"/>
          <w:color w:val="auto"/>
        </w:rPr>
        <w:t>12</w:t>
      </w:r>
      <w:r>
        <w:rPr>
          <w:rFonts w:ascii="Arial" w:cs="Arial" w:eastAsia="Arial" w:hAnsi="Arial"/>
          <w:sz w:val="15"/>
          <w:szCs w:val="15"/>
          <w:b w:val="1"/>
          <w:bCs w:val="1"/>
          <w:color w:val="auto"/>
        </w:rPr>
        <w:t xml:space="preserve">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-106045</wp:posOffset>
            </wp:positionV>
            <wp:extent cx="2314575" cy="2400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14575" cy="2400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680" w:space="720"/>
            <w:col w:w="2360" w:space="720"/>
            <w:col w:w="2520"/>
          </w:cols>
          <w:pgMar w:left="440" w:top="270" w:right="459" w:bottom="1440" w:gutter="0" w:footer="0" w:header="0"/>
        </w:sectPr>
      </w:pP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5120" w:type="dxa"/>
            <w:vAlign w:val="bottom"/>
          </w:tcPr>
          <w:p>
            <w:pPr>
              <w:ind w:left="900"/>
              <w:spacing w:after="0"/>
              <w:rPr>
                <w:sz w:val="20"/>
                <w:szCs w:val="20"/>
                <w:color w:val="auto"/>
              </w:rPr>
            </w:pPr>
            <w:r>
              <w:rPr>
                <w:rFonts w:ascii="Arial" w:cs="Arial" w:eastAsia="Arial" w:hAnsi="Arial"/>
                <w:sz w:val="18"/>
                <w:szCs w:val="18"/>
                <w:color w:val="auto"/>
                <w:w w:val="95"/>
              </w:rPr>
              <w:t>(iii) Sole power to dispose or to direct the disposition of:</w:t>
            </w:r>
          </w:p>
        </w:tc>
        <w:tc>
          <w:tcPr>
            <w:tcW w:w="4900" w:type="dxa"/>
            <w:vAlign w:val="bottom"/>
          </w:tcPr>
          <w:p>
            <w:pPr>
              <w:ind w:left="60"/>
              <w:spacing w:after="0"/>
              <w:rPr>
                <w:sz w:val="20"/>
                <w:szCs w:val="20"/>
                <w:color w:val="auto"/>
              </w:rPr>
            </w:pPr>
            <w:r>
              <w:rPr>
                <w:rFonts w:ascii="Arial" w:cs="Arial" w:eastAsia="Arial" w:hAnsi="Arial"/>
                <w:sz w:val="18"/>
                <w:szCs w:val="18"/>
                <w:color w:val="auto"/>
              </w:rPr>
              <w:t>See row 7 of the cover pages.</w:t>
            </w:r>
          </w:p>
        </w:tc>
      </w:tr>
      <w:tr>
        <w:trPr>
          <w:trHeight w:val="324"/>
        </w:trPr>
        <w:tc>
          <w:tcPr>
            <w:tcW w:w="980" w:type="dxa"/>
            <w:vAlign w:val="bottom"/>
          </w:tcPr>
          <w:p>
            <w:pPr>
              <w:spacing w:after="0"/>
              <w:rPr>
                <w:sz w:val="24"/>
                <w:szCs w:val="24"/>
                <w:color w:val="auto"/>
              </w:rPr>
            </w:pPr>
          </w:p>
        </w:tc>
        <w:tc>
          <w:tcPr>
            <w:tcW w:w="10020" w:type="dxa"/>
            <w:vAlign w:val="bottom"/>
            <w:gridSpan w:val="2"/>
          </w:tcPr>
          <w:p>
            <w:pPr>
              <w:ind w:left="900"/>
              <w:spacing w:after="0"/>
              <w:rPr>
                <w:sz w:val="20"/>
                <w:szCs w:val="20"/>
                <w:color w:val="auto"/>
              </w:rPr>
            </w:pPr>
            <w:r>
              <w:rPr>
                <w:rFonts w:ascii="Arial" w:cs="Arial" w:eastAsia="Arial" w:hAnsi="Arial"/>
                <w:sz w:val="18"/>
                <w:szCs w:val="18"/>
                <w:color w:val="auto"/>
              </w:rPr>
              <w:t>(iv) Shared power to dispose or to direct the disposition of:  See row 8 of the cover pages.</w:t>
            </w:r>
          </w:p>
        </w:tc>
      </w:tr>
      <w:tr>
        <w:trPr>
          <w:trHeight w:val="310"/>
        </w:trPr>
        <w:tc>
          <w:tcPr>
            <w:tcW w:w="980" w:type="dxa"/>
            <w:vAlign w:val="bottom"/>
          </w:tcPr>
          <w:p>
            <w:pPr>
              <w:spacing w:after="0"/>
              <w:rPr>
                <w:sz w:val="24"/>
                <w:szCs w:val="24"/>
                <w:color w:val="auto"/>
              </w:rPr>
            </w:pPr>
          </w:p>
        </w:tc>
        <w:tc>
          <w:tcPr>
            <w:tcW w:w="10020" w:type="dxa"/>
            <w:vAlign w:val="bottom"/>
            <w:gridSpan w:val="2"/>
          </w:tcPr>
          <w:p>
            <w:pPr>
              <w:ind w:left="360"/>
              <w:spacing w:after="0"/>
              <w:rPr>
                <w:sz w:val="20"/>
                <w:szCs w:val="20"/>
                <w:color w:val="auto"/>
              </w:rPr>
            </w:pPr>
            <w:r>
              <w:rPr>
                <w:rFonts w:ascii="Arial" w:cs="Arial" w:eastAsia="Arial" w:hAnsi="Arial"/>
                <w:sz w:val="18"/>
                <w:szCs w:val="18"/>
                <w:color w:val="auto"/>
                <w:w w:val="90"/>
              </w:rPr>
              <w:t>As of December 31, 2020, Valor IV Pharma Holdings, LLC was the holder of record of the shares reported herein. Valor Management</w:t>
            </w:r>
          </w:p>
        </w:tc>
      </w:tr>
      <w:tr>
        <w:trPr>
          <w:trHeight w:val="216"/>
        </w:trPr>
        <w:tc>
          <w:tcPr>
            <w:tcW w:w="980" w:type="dxa"/>
            <w:vAlign w:val="bottom"/>
          </w:tcPr>
          <w:p>
            <w:pPr>
              <w:spacing w:after="0"/>
              <w:rPr>
                <w:sz w:val="18"/>
                <w:szCs w:val="18"/>
                <w:color w:val="auto"/>
              </w:rPr>
            </w:pPr>
          </w:p>
        </w:tc>
        <w:tc>
          <w:tcPr>
            <w:tcW w:w="10020" w:type="dxa"/>
            <w:vAlign w:val="bottom"/>
            <w:gridSpan w:val="2"/>
          </w:tcPr>
          <w:p>
            <w:pPr>
              <w:ind w:left="360"/>
              <w:spacing w:after="0"/>
              <w:rPr>
                <w:sz w:val="20"/>
                <w:szCs w:val="20"/>
                <w:color w:val="auto"/>
              </w:rPr>
            </w:pPr>
            <w:r>
              <w:rPr>
                <w:rFonts w:ascii="Arial" w:cs="Arial" w:eastAsia="Arial" w:hAnsi="Arial"/>
                <w:sz w:val="18"/>
                <w:szCs w:val="18"/>
                <w:color w:val="auto"/>
                <w:w w:val="92"/>
              </w:rPr>
              <w:t>L.P. is the managing member of Valor Equity Capital IV LLC, which is the general partner of Valor Equity Associates IV L.P., which,</w:t>
            </w:r>
          </w:p>
        </w:tc>
      </w:tr>
      <w:tr>
        <w:trPr>
          <w:trHeight w:val="216"/>
        </w:trPr>
        <w:tc>
          <w:tcPr>
            <w:tcW w:w="980" w:type="dxa"/>
            <w:vAlign w:val="bottom"/>
          </w:tcPr>
          <w:p>
            <w:pPr>
              <w:spacing w:after="0"/>
              <w:rPr>
                <w:sz w:val="18"/>
                <w:szCs w:val="18"/>
                <w:color w:val="auto"/>
              </w:rPr>
            </w:pPr>
          </w:p>
        </w:tc>
        <w:tc>
          <w:tcPr>
            <w:tcW w:w="10020" w:type="dxa"/>
            <w:vAlign w:val="bottom"/>
            <w:gridSpan w:val="2"/>
          </w:tcPr>
          <w:p>
            <w:pPr>
              <w:ind w:left="360"/>
              <w:spacing w:after="0"/>
              <w:rPr>
                <w:sz w:val="20"/>
                <w:szCs w:val="20"/>
                <w:color w:val="auto"/>
              </w:rPr>
            </w:pPr>
            <w:r>
              <w:rPr>
                <w:rFonts w:ascii="Arial" w:cs="Arial" w:eastAsia="Arial" w:hAnsi="Arial"/>
                <w:sz w:val="18"/>
                <w:szCs w:val="18"/>
                <w:color w:val="auto"/>
                <w:w w:val="91"/>
              </w:rPr>
              <w:t>in turn, is the general partner of each of Valor Equity Partners IV L.P., Valor Equity Partners IV-A L.P. and Valor Equity Partners IV-B</w:t>
            </w:r>
          </w:p>
        </w:tc>
      </w:tr>
      <w:tr>
        <w:trPr>
          <w:trHeight w:val="216"/>
        </w:trPr>
        <w:tc>
          <w:tcPr>
            <w:tcW w:w="980" w:type="dxa"/>
            <w:vAlign w:val="bottom"/>
          </w:tcPr>
          <w:p>
            <w:pPr>
              <w:spacing w:after="0"/>
              <w:rPr>
                <w:sz w:val="18"/>
                <w:szCs w:val="18"/>
                <w:color w:val="auto"/>
              </w:rPr>
            </w:pPr>
          </w:p>
        </w:tc>
        <w:tc>
          <w:tcPr>
            <w:tcW w:w="10020" w:type="dxa"/>
            <w:vAlign w:val="bottom"/>
            <w:gridSpan w:val="2"/>
          </w:tcPr>
          <w:p>
            <w:pPr>
              <w:ind w:left="360"/>
              <w:spacing w:after="0"/>
              <w:rPr>
                <w:sz w:val="20"/>
                <w:szCs w:val="20"/>
                <w:color w:val="auto"/>
              </w:rPr>
            </w:pPr>
            <w:r>
              <w:rPr>
                <w:rFonts w:ascii="Arial" w:cs="Arial" w:eastAsia="Arial" w:hAnsi="Arial"/>
                <w:sz w:val="18"/>
                <w:szCs w:val="18"/>
                <w:color w:val="auto"/>
                <w:w w:val="94"/>
              </w:rPr>
              <w:t>L.P., or the “Valor Funds.” The Valor Funds are the sole members of Valor IV Pharma Holdings, LLC. By virtue of their positions</w:t>
            </w:r>
          </w:p>
        </w:tc>
      </w:tr>
      <w:tr>
        <w:trPr>
          <w:trHeight w:val="216"/>
        </w:trPr>
        <w:tc>
          <w:tcPr>
            <w:tcW w:w="980" w:type="dxa"/>
            <w:vAlign w:val="bottom"/>
          </w:tcPr>
          <w:p>
            <w:pPr>
              <w:spacing w:after="0"/>
              <w:rPr>
                <w:sz w:val="18"/>
                <w:szCs w:val="18"/>
                <w:color w:val="auto"/>
              </w:rPr>
            </w:pPr>
          </w:p>
        </w:tc>
        <w:tc>
          <w:tcPr>
            <w:tcW w:w="10020" w:type="dxa"/>
            <w:vAlign w:val="bottom"/>
            <w:gridSpan w:val="2"/>
          </w:tcPr>
          <w:p>
            <w:pPr>
              <w:ind w:left="360"/>
              <w:spacing w:after="0"/>
              <w:rPr>
                <w:sz w:val="20"/>
                <w:szCs w:val="20"/>
                <w:color w:val="auto"/>
              </w:rPr>
            </w:pPr>
            <w:r>
              <w:rPr>
                <w:rFonts w:ascii="Arial" w:cs="Arial" w:eastAsia="Arial" w:hAnsi="Arial"/>
                <w:sz w:val="18"/>
                <w:szCs w:val="18"/>
                <w:color w:val="auto"/>
                <w:w w:val="89"/>
              </w:rPr>
              <w:t>with Valor Management L.P., each of Messrs. Gracias and Sabater may be deemed to share beneficial ownership over the shares held</w:t>
            </w:r>
          </w:p>
        </w:tc>
      </w:tr>
      <w:tr>
        <w:trPr>
          <w:trHeight w:val="216"/>
        </w:trPr>
        <w:tc>
          <w:tcPr>
            <w:tcW w:w="980" w:type="dxa"/>
            <w:vAlign w:val="bottom"/>
          </w:tcPr>
          <w:p>
            <w:pPr>
              <w:spacing w:after="0"/>
              <w:rPr>
                <w:sz w:val="18"/>
                <w:szCs w:val="18"/>
                <w:color w:val="auto"/>
              </w:rPr>
            </w:pPr>
          </w:p>
        </w:tc>
        <w:tc>
          <w:tcPr>
            <w:tcW w:w="10020" w:type="dxa"/>
            <w:vAlign w:val="bottom"/>
            <w:gridSpan w:val="2"/>
          </w:tcPr>
          <w:p>
            <w:pPr>
              <w:ind w:left="360"/>
              <w:spacing w:after="0"/>
              <w:rPr>
                <w:sz w:val="20"/>
                <w:szCs w:val="20"/>
                <w:color w:val="auto"/>
              </w:rPr>
            </w:pPr>
            <w:r>
              <w:rPr>
                <w:rFonts w:ascii="Arial" w:cs="Arial" w:eastAsia="Arial" w:hAnsi="Arial"/>
                <w:sz w:val="18"/>
                <w:szCs w:val="18"/>
                <w:color w:val="auto"/>
                <w:w w:val="92"/>
              </w:rPr>
              <w:t>of record by Valor IV Pharma Holdings, LLC; however, each disclaims beneficial ownership of such shares for purposes of Sections</w:t>
            </w:r>
          </w:p>
        </w:tc>
      </w:tr>
      <w:tr>
        <w:trPr>
          <w:trHeight w:val="216"/>
        </w:trPr>
        <w:tc>
          <w:tcPr>
            <w:tcW w:w="980" w:type="dxa"/>
            <w:vAlign w:val="bottom"/>
          </w:tcPr>
          <w:p>
            <w:pPr>
              <w:spacing w:after="0"/>
              <w:rPr>
                <w:sz w:val="18"/>
                <w:szCs w:val="18"/>
                <w:color w:val="auto"/>
              </w:rPr>
            </w:pPr>
          </w:p>
        </w:tc>
        <w:tc>
          <w:tcPr>
            <w:tcW w:w="10020" w:type="dxa"/>
            <w:vAlign w:val="bottom"/>
            <w:gridSpan w:val="2"/>
          </w:tcPr>
          <w:p>
            <w:pPr>
              <w:ind w:left="360"/>
              <w:spacing w:after="0"/>
              <w:rPr>
                <w:sz w:val="20"/>
                <w:szCs w:val="20"/>
                <w:color w:val="auto"/>
              </w:rPr>
            </w:pPr>
            <w:r>
              <w:rPr>
                <w:rFonts w:ascii="Arial" w:cs="Arial" w:eastAsia="Arial" w:hAnsi="Arial"/>
                <w:sz w:val="18"/>
                <w:szCs w:val="18"/>
                <w:color w:val="auto"/>
                <w:w w:val="93"/>
              </w:rPr>
              <w:t>13(d) or 13(g) of the Act and the inclusion of such persons in this Schedule 13G shall not be construed as an admission that such</w:t>
            </w:r>
          </w:p>
        </w:tc>
      </w:tr>
      <w:tr>
        <w:trPr>
          <w:trHeight w:val="216"/>
        </w:trPr>
        <w:tc>
          <w:tcPr>
            <w:tcW w:w="980" w:type="dxa"/>
            <w:vAlign w:val="bottom"/>
          </w:tcPr>
          <w:p>
            <w:pPr>
              <w:spacing w:after="0"/>
              <w:rPr>
                <w:sz w:val="18"/>
                <w:szCs w:val="18"/>
                <w:color w:val="auto"/>
              </w:rPr>
            </w:pPr>
          </w:p>
        </w:tc>
        <w:tc>
          <w:tcPr>
            <w:tcW w:w="10020" w:type="dxa"/>
            <w:vAlign w:val="bottom"/>
            <w:gridSpan w:val="2"/>
          </w:tcPr>
          <w:p>
            <w:pPr>
              <w:ind w:left="360"/>
              <w:spacing w:after="0"/>
              <w:rPr>
                <w:sz w:val="20"/>
                <w:szCs w:val="20"/>
                <w:color w:val="auto"/>
              </w:rPr>
            </w:pPr>
            <w:r>
              <w:rPr>
                <w:rFonts w:ascii="Arial" w:cs="Arial" w:eastAsia="Arial" w:hAnsi="Arial"/>
                <w:sz w:val="18"/>
                <w:szCs w:val="18"/>
                <w:color w:val="auto"/>
                <w:w w:val="93"/>
              </w:rPr>
              <w:t>persons are, for the purposes of Sections 13(d) or 13(g) of the Act, the beneficial owner of any securities covered by this Schedule</w:t>
            </w:r>
          </w:p>
        </w:tc>
      </w:tr>
      <w:tr>
        <w:trPr>
          <w:trHeight w:val="230"/>
        </w:trPr>
        <w:tc>
          <w:tcPr>
            <w:tcW w:w="980" w:type="dxa"/>
            <w:vAlign w:val="bottom"/>
          </w:tcPr>
          <w:p>
            <w:pPr>
              <w:spacing w:after="0"/>
              <w:rPr>
                <w:sz w:val="20"/>
                <w:szCs w:val="20"/>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13G.</w:t>
            </w:r>
          </w:p>
        </w:tc>
        <w:tc>
          <w:tcPr>
            <w:tcW w:w="4900" w:type="dxa"/>
            <w:vAlign w:val="bottom"/>
          </w:tcPr>
          <w:p>
            <w:pPr>
              <w:spacing w:after="0"/>
              <w:rPr>
                <w:sz w:val="20"/>
                <w:szCs w:val="20"/>
                <w:color w:val="auto"/>
              </w:rPr>
            </w:pPr>
          </w:p>
        </w:tc>
      </w:tr>
      <w:tr>
        <w:trPr>
          <w:trHeight w:val="323"/>
        </w:trPr>
        <w:tc>
          <w:tcPr>
            <w:tcW w:w="980" w:type="dxa"/>
            <w:vAlign w:val="bottom"/>
          </w:tcPr>
          <w:p>
            <w:pPr>
              <w:spacing w:after="0"/>
              <w:rPr>
                <w:sz w:val="24"/>
                <w:szCs w:val="24"/>
                <w:color w:val="auto"/>
              </w:rPr>
            </w:pPr>
          </w:p>
        </w:tc>
        <w:tc>
          <w:tcPr>
            <w:tcW w:w="10020" w:type="dxa"/>
            <w:vAlign w:val="bottom"/>
            <w:gridSpan w:val="2"/>
          </w:tcPr>
          <w:p>
            <w:pPr>
              <w:ind w:left="360"/>
              <w:spacing w:after="0"/>
              <w:rPr>
                <w:sz w:val="20"/>
                <w:szCs w:val="20"/>
                <w:color w:val="auto"/>
              </w:rPr>
            </w:pPr>
            <w:r>
              <w:rPr>
                <w:rFonts w:ascii="Arial" w:cs="Arial" w:eastAsia="Arial" w:hAnsi="Arial"/>
                <w:sz w:val="18"/>
                <w:szCs w:val="18"/>
                <w:color w:val="auto"/>
                <w:w w:val="92"/>
              </w:rPr>
              <w:t>Percent of class is based on (i) the number of shares that may be deemed to be beneficially owned by each Reporting Person as of</w:t>
            </w:r>
          </w:p>
        </w:tc>
      </w:tr>
      <w:tr>
        <w:trPr>
          <w:trHeight w:val="216"/>
        </w:trPr>
        <w:tc>
          <w:tcPr>
            <w:tcW w:w="980" w:type="dxa"/>
            <w:vAlign w:val="bottom"/>
          </w:tcPr>
          <w:p>
            <w:pPr>
              <w:spacing w:after="0"/>
              <w:rPr>
                <w:sz w:val="18"/>
                <w:szCs w:val="18"/>
                <w:color w:val="auto"/>
              </w:rPr>
            </w:pPr>
          </w:p>
        </w:tc>
        <w:tc>
          <w:tcPr>
            <w:tcW w:w="10020" w:type="dxa"/>
            <w:vAlign w:val="bottom"/>
            <w:gridSpan w:val="2"/>
          </w:tcPr>
          <w:p>
            <w:pPr>
              <w:ind w:left="360"/>
              <w:spacing w:after="0"/>
              <w:rPr>
                <w:sz w:val="20"/>
                <w:szCs w:val="20"/>
                <w:color w:val="auto"/>
              </w:rPr>
            </w:pPr>
            <w:r>
              <w:rPr>
                <w:rFonts w:ascii="Arial" w:cs="Arial" w:eastAsia="Arial" w:hAnsi="Arial"/>
                <w:sz w:val="18"/>
                <w:szCs w:val="18"/>
                <w:color w:val="auto"/>
                <w:w w:val="94"/>
              </w:rPr>
              <w:t>December 31, 2020 and (ii) the number of shares of common stock outstanding as of November 9, 2020 (56,889,111 shares) as</w:t>
            </w:r>
          </w:p>
        </w:tc>
      </w:tr>
      <w:tr>
        <w:trPr>
          <w:trHeight w:val="230"/>
        </w:trPr>
        <w:tc>
          <w:tcPr>
            <w:tcW w:w="980" w:type="dxa"/>
            <w:vAlign w:val="bottom"/>
          </w:tcPr>
          <w:p>
            <w:pPr>
              <w:spacing w:after="0"/>
              <w:rPr>
                <w:sz w:val="20"/>
                <w:szCs w:val="20"/>
                <w:color w:val="auto"/>
              </w:rPr>
            </w:pPr>
          </w:p>
        </w:tc>
        <w:tc>
          <w:tcPr>
            <w:tcW w:w="10020" w:type="dxa"/>
            <w:vAlign w:val="bottom"/>
            <w:gridSpan w:val="2"/>
          </w:tcPr>
          <w:p>
            <w:pPr>
              <w:ind w:left="360"/>
              <w:spacing w:after="0"/>
              <w:rPr>
                <w:sz w:val="20"/>
                <w:szCs w:val="20"/>
                <w:color w:val="auto"/>
              </w:rPr>
            </w:pPr>
            <w:r>
              <w:rPr>
                <w:rFonts w:ascii="Arial" w:cs="Arial" w:eastAsia="Arial" w:hAnsi="Arial"/>
                <w:sz w:val="18"/>
                <w:szCs w:val="18"/>
                <w:color w:val="auto"/>
              </w:rPr>
              <w:t>reported by the Issuer in its Form 10-Q filed with the Securities and Exchange Commission on November 12, 2020.</w:t>
            </w:r>
          </w:p>
        </w:tc>
      </w:tr>
      <w:tr>
        <w:trPr>
          <w:trHeight w:val="553"/>
        </w:trPr>
        <w:tc>
          <w:tcPr>
            <w:tcW w:w="9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5120" w:type="dxa"/>
            <w:vAlign w:val="bottom"/>
          </w:tcPr>
          <w:p>
            <w:pPr>
              <w:ind w:left="360"/>
              <w:spacing w:after="0"/>
              <w:rPr>
                <w:sz w:val="20"/>
                <w:szCs w:val="20"/>
                <w:color w:val="auto"/>
              </w:rPr>
            </w:pPr>
            <w:r>
              <w:rPr>
                <w:rFonts w:ascii="Arial" w:cs="Arial" w:eastAsia="Arial" w:hAnsi="Arial"/>
                <w:sz w:val="18"/>
                <w:szCs w:val="18"/>
                <w:b w:val="1"/>
                <w:bCs w:val="1"/>
                <w:color w:val="auto"/>
              </w:rPr>
              <w:t>Ownership of Five Percent or Less of a Class.</w:t>
            </w:r>
          </w:p>
        </w:tc>
        <w:tc>
          <w:tcPr>
            <w:tcW w:w="4900" w:type="dxa"/>
            <w:vAlign w:val="bottom"/>
          </w:tcPr>
          <w:p>
            <w:pPr>
              <w:spacing w:after="0"/>
              <w:rPr>
                <w:sz w:val="24"/>
                <w:szCs w:val="24"/>
                <w:color w:val="auto"/>
              </w:rPr>
            </w:pPr>
          </w:p>
        </w:tc>
      </w:tr>
      <w:tr>
        <w:trPr>
          <w:trHeight w:val="277"/>
        </w:trPr>
        <w:tc>
          <w:tcPr>
            <w:tcW w:w="980" w:type="dxa"/>
            <w:vAlign w:val="bottom"/>
          </w:tcPr>
          <w:p>
            <w:pPr>
              <w:spacing w:after="0"/>
              <w:rPr>
                <w:sz w:val="24"/>
                <w:szCs w:val="24"/>
                <w:color w:val="auto"/>
              </w:rPr>
            </w:pPr>
          </w:p>
        </w:tc>
        <w:tc>
          <w:tcPr>
            <w:tcW w:w="10020" w:type="dxa"/>
            <w:vAlign w:val="bottom"/>
            <w:gridSpan w:val="2"/>
          </w:tcPr>
          <w:p>
            <w:pPr>
              <w:ind w:left="360"/>
              <w:spacing w:after="0"/>
              <w:rPr>
                <w:sz w:val="20"/>
                <w:szCs w:val="20"/>
                <w:color w:val="auto"/>
              </w:rPr>
            </w:pPr>
            <w:r>
              <w:rPr>
                <w:rFonts w:ascii="Arial" w:cs="Arial" w:eastAsia="Arial" w:hAnsi="Arial"/>
                <w:sz w:val="18"/>
                <w:szCs w:val="18"/>
                <w:color w:val="auto"/>
                <w:w w:val="90"/>
              </w:rPr>
              <w:t>If this statement is being filed to report the fact that as of the date hereof the reporting person has ceased to be the beneficial owner of</w:t>
            </w:r>
          </w:p>
        </w:tc>
      </w:tr>
      <w:tr>
        <w:trPr>
          <w:trHeight w:val="283"/>
        </w:trPr>
        <w:tc>
          <w:tcPr>
            <w:tcW w:w="980" w:type="dxa"/>
            <w:vAlign w:val="bottom"/>
          </w:tcPr>
          <w:p>
            <w:pPr>
              <w:spacing w:after="0"/>
              <w:rPr>
                <w:sz w:val="24"/>
                <w:szCs w:val="24"/>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w w:val="91"/>
              </w:rPr>
              <w:t>more than 5 percent of the class of securities, check the following</w:t>
            </w:r>
          </w:p>
        </w:tc>
        <w:tc>
          <w:tcPr>
            <w:tcW w:w="490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520"/>
        </w:trPr>
        <w:tc>
          <w:tcPr>
            <w:tcW w:w="9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020" w:type="dxa"/>
            <w:vAlign w:val="bottom"/>
            <w:gridSpan w:val="2"/>
          </w:tcPr>
          <w:p>
            <w:pPr>
              <w:ind w:left="36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324"/>
        </w:trPr>
        <w:tc>
          <w:tcPr>
            <w:tcW w:w="980" w:type="dxa"/>
            <w:vAlign w:val="bottom"/>
          </w:tcPr>
          <w:p>
            <w:pPr>
              <w:spacing w:after="0"/>
              <w:rPr>
                <w:sz w:val="24"/>
                <w:szCs w:val="24"/>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Not applicable.</w:t>
            </w:r>
          </w:p>
        </w:tc>
        <w:tc>
          <w:tcPr>
            <w:tcW w:w="4900" w:type="dxa"/>
            <w:vAlign w:val="bottom"/>
          </w:tcPr>
          <w:p>
            <w:pPr>
              <w:spacing w:after="0"/>
              <w:rPr>
                <w:sz w:val="24"/>
                <w:szCs w:val="24"/>
                <w:color w:val="auto"/>
              </w:rPr>
            </w:pPr>
          </w:p>
        </w:tc>
      </w:tr>
      <w:tr>
        <w:trPr>
          <w:trHeight w:val="522"/>
        </w:trPr>
        <w:tc>
          <w:tcPr>
            <w:tcW w:w="98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020" w:type="dxa"/>
            <w:vAlign w:val="bottom"/>
            <w:gridSpan w:val="2"/>
          </w:tcPr>
          <w:p>
            <w:pPr>
              <w:ind w:left="360"/>
              <w:spacing w:after="0"/>
              <w:rPr>
                <w:sz w:val="20"/>
                <w:szCs w:val="20"/>
                <w:color w:val="auto"/>
              </w:rPr>
            </w:pPr>
            <w:r>
              <w:rPr>
                <w:rFonts w:ascii="Arial" w:cs="Arial" w:eastAsia="Arial" w:hAnsi="Arial"/>
                <w:sz w:val="18"/>
                <w:szCs w:val="18"/>
                <w:b w:val="1"/>
                <w:bCs w:val="1"/>
                <w:color w:val="auto"/>
                <w:w w:val="93"/>
              </w:rPr>
              <w:t>Identification and Classification of the Subsidiary Which Acquired the Security Being Reported on by the Parent Holding</w:t>
            </w:r>
          </w:p>
        </w:tc>
      </w:tr>
      <w:tr>
        <w:trPr>
          <w:trHeight w:val="234"/>
        </w:trPr>
        <w:tc>
          <w:tcPr>
            <w:tcW w:w="980" w:type="dxa"/>
            <w:vAlign w:val="bottom"/>
          </w:tcPr>
          <w:p>
            <w:pPr>
              <w:spacing w:after="0"/>
              <w:rPr>
                <w:sz w:val="20"/>
                <w:szCs w:val="20"/>
                <w:color w:val="auto"/>
              </w:rPr>
            </w:pPr>
          </w:p>
        </w:tc>
        <w:tc>
          <w:tcPr>
            <w:tcW w:w="5120" w:type="dxa"/>
            <w:vAlign w:val="bottom"/>
          </w:tcPr>
          <w:p>
            <w:pPr>
              <w:ind w:left="360"/>
              <w:spacing w:after="0"/>
              <w:rPr>
                <w:sz w:val="20"/>
                <w:szCs w:val="20"/>
                <w:color w:val="auto"/>
              </w:rPr>
            </w:pPr>
            <w:r>
              <w:rPr>
                <w:rFonts w:ascii="Arial" w:cs="Arial" w:eastAsia="Arial" w:hAnsi="Arial"/>
                <w:sz w:val="18"/>
                <w:szCs w:val="18"/>
                <w:b w:val="1"/>
                <w:bCs w:val="1"/>
                <w:color w:val="auto"/>
              </w:rPr>
              <w:t>Company or Control Person.</w:t>
            </w:r>
          </w:p>
        </w:tc>
        <w:tc>
          <w:tcPr>
            <w:tcW w:w="4900" w:type="dxa"/>
            <w:vAlign w:val="bottom"/>
          </w:tcPr>
          <w:p>
            <w:pPr>
              <w:spacing w:after="0"/>
              <w:rPr>
                <w:sz w:val="20"/>
                <w:szCs w:val="20"/>
                <w:color w:val="auto"/>
              </w:rPr>
            </w:pPr>
          </w:p>
        </w:tc>
      </w:tr>
      <w:tr>
        <w:trPr>
          <w:trHeight w:val="324"/>
        </w:trPr>
        <w:tc>
          <w:tcPr>
            <w:tcW w:w="980" w:type="dxa"/>
            <w:vAlign w:val="bottom"/>
          </w:tcPr>
          <w:p>
            <w:pPr>
              <w:spacing w:after="0"/>
              <w:rPr>
                <w:sz w:val="24"/>
                <w:szCs w:val="24"/>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Not applicable.</w:t>
            </w:r>
          </w:p>
        </w:tc>
        <w:tc>
          <w:tcPr>
            <w:tcW w:w="4900" w:type="dxa"/>
            <w:vAlign w:val="bottom"/>
          </w:tcPr>
          <w:p>
            <w:pPr>
              <w:spacing w:after="0"/>
              <w:rPr>
                <w:sz w:val="24"/>
                <w:szCs w:val="24"/>
                <w:color w:val="auto"/>
              </w:rPr>
            </w:pPr>
          </w:p>
        </w:tc>
      </w:tr>
      <w:tr>
        <w:trPr>
          <w:trHeight w:val="540"/>
        </w:trPr>
        <w:tc>
          <w:tcPr>
            <w:tcW w:w="9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5120" w:type="dxa"/>
            <w:vAlign w:val="bottom"/>
          </w:tcPr>
          <w:p>
            <w:pPr>
              <w:ind w:left="360"/>
              <w:spacing w:after="0"/>
              <w:rPr>
                <w:sz w:val="20"/>
                <w:szCs w:val="20"/>
                <w:color w:val="auto"/>
              </w:rPr>
            </w:pPr>
            <w:r>
              <w:rPr>
                <w:rFonts w:ascii="Arial" w:cs="Arial" w:eastAsia="Arial" w:hAnsi="Arial"/>
                <w:sz w:val="18"/>
                <w:szCs w:val="18"/>
                <w:b w:val="1"/>
                <w:bCs w:val="1"/>
                <w:color w:val="auto"/>
                <w:w w:val="95"/>
              </w:rPr>
              <w:t>Identification and Classification of Members of the Group.</w:t>
            </w:r>
          </w:p>
        </w:tc>
        <w:tc>
          <w:tcPr>
            <w:tcW w:w="490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Not applicable.</w:t>
            </w:r>
          </w:p>
        </w:tc>
        <w:tc>
          <w:tcPr>
            <w:tcW w:w="4900" w:type="dxa"/>
            <w:vAlign w:val="bottom"/>
          </w:tcPr>
          <w:p>
            <w:pPr>
              <w:spacing w:after="0"/>
              <w:rPr>
                <w:sz w:val="24"/>
                <w:szCs w:val="24"/>
                <w:color w:val="auto"/>
              </w:rPr>
            </w:pPr>
          </w:p>
        </w:tc>
      </w:tr>
      <w:tr>
        <w:trPr>
          <w:trHeight w:val="540"/>
        </w:trPr>
        <w:tc>
          <w:tcPr>
            <w:tcW w:w="98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5120" w:type="dxa"/>
            <w:vAlign w:val="bottom"/>
          </w:tcPr>
          <w:p>
            <w:pPr>
              <w:ind w:left="360"/>
              <w:spacing w:after="0"/>
              <w:rPr>
                <w:sz w:val="20"/>
                <w:szCs w:val="20"/>
                <w:color w:val="auto"/>
              </w:rPr>
            </w:pPr>
            <w:r>
              <w:rPr>
                <w:rFonts w:ascii="Arial" w:cs="Arial" w:eastAsia="Arial" w:hAnsi="Arial"/>
                <w:sz w:val="18"/>
                <w:szCs w:val="18"/>
                <w:b w:val="1"/>
                <w:bCs w:val="1"/>
                <w:color w:val="auto"/>
              </w:rPr>
              <w:t>Notice of Dissolution of Group.</w:t>
            </w:r>
          </w:p>
        </w:tc>
        <w:tc>
          <w:tcPr>
            <w:tcW w:w="490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Not applicable.</w:t>
            </w:r>
          </w:p>
        </w:tc>
        <w:tc>
          <w:tcPr>
            <w:tcW w:w="4900" w:type="dxa"/>
            <w:vAlign w:val="bottom"/>
          </w:tcPr>
          <w:p>
            <w:pPr>
              <w:spacing w:after="0"/>
              <w:rPr>
                <w:sz w:val="24"/>
                <w:szCs w:val="24"/>
                <w:color w:val="auto"/>
              </w:rPr>
            </w:pPr>
          </w:p>
        </w:tc>
      </w:tr>
      <w:tr>
        <w:trPr>
          <w:trHeight w:val="540"/>
        </w:trPr>
        <w:tc>
          <w:tcPr>
            <w:tcW w:w="98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5120" w:type="dxa"/>
            <w:vAlign w:val="bottom"/>
          </w:tcPr>
          <w:p>
            <w:pPr>
              <w:ind w:left="360"/>
              <w:spacing w:after="0"/>
              <w:rPr>
                <w:sz w:val="20"/>
                <w:szCs w:val="20"/>
                <w:color w:val="auto"/>
              </w:rPr>
            </w:pPr>
            <w:r>
              <w:rPr>
                <w:rFonts w:ascii="Arial" w:cs="Arial" w:eastAsia="Arial" w:hAnsi="Arial"/>
                <w:sz w:val="18"/>
                <w:szCs w:val="18"/>
                <w:b w:val="1"/>
                <w:bCs w:val="1"/>
                <w:color w:val="auto"/>
              </w:rPr>
              <w:t>Certifications.</w:t>
            </w:r>
          </w:p>
        </w:tc>
        <w:tc>
          <w:tcPr>
            <w:tcW w:w="490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Not applicable.</w:t>
            </w:r>
          </w:p>
        </w:tc>
        <w:tc>
          <w:tcPr>
            <w:tcW w:w="4900" w:type="dxa"/>
            <w:vAlign w:val="bottom"/>
          </w:tcPr>
          <w:p>
            <w:pPr>
              <w:spacing w:after="0"/>
              <w:rPr>
                <w:sz w:val="24"/>
                <w:szCs w:val="24"/>
                <w:color w:val="auto"/>
              </w:rPr>
            </w:pPr>
          </w:p>
        </w:tc>
      </w:tr>
    </w:tbl>
    <w:p>
      <w:pPr>
        <w:sectPr>
          <w:pgSz w:w="11900" w:h="16838" w:orient="portrait"/>
          <w:cols w:equalWidth="0" w:num="1">
            <w:col w:w="11000"/>
          </w:cols>
          <w:pgMar w:left="440" w:top="270" w:right="45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w:t>
      </w:r>
    </w:p>
    <w:p>
      <w:pPr>
        <w:spacing w:after="0" w:line="12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r>
              <w:rPr>
                <w:rFonts w:ascii="Arial" w:cs="Arial" w:eastAsia="Arial" w:hAnsi="Arial"/>
                <w:sz w:val="18"/>
                <w:szCs w:val="18"/>
                <w:color w:val="auto"/>
              </w:rPr>
              <w:t>February 16, 2021</w:t>
            </w:r>
          </w:p>
        </w:tc>
        <w:tc>
          <w:tcPr>
            <w:tcW w:w="7880" w:type="dxa"/>
            <w:vAlign w:val="bottom"/>
            <w:gridSpan w:val="3"/>
          </w:tcPr>
          <w:p>
            <w:pPr>
              <w:ind w:left="1820"/>
              <w:spacing w:after="0"/>
              <w:rPr>
                <w:sz w:val="20"/>
                <w:szCs w:val="20"/>
                <w:color w:val="auto"/>
              </w:rPr>
            </w:pPr>
            <w:r>
              <w:rPr>
                <w:rFonts w:ascii="Arial" w:cs="Arial" w:eastAsia="Arial" w:hAnsi="Arial"/>
                <w:sz w:val="18"/>
                <w:szCs w:val="18"/>
                <w:b w:val="1"/>
                <w:bCs w:val="1"/>
                <w:color w:val="auto"/>
              </w:rPr>
              <w:t>Valor IV Pharma Holdings, LLC</w:t>
            </w:r>
          </w:p>
        </w:tc>
      </w:tr>
      <w:tr>
        <w:trPr>
          <w:trHeight w:val="418"/>
        </w:trPr>
        <w:tc>
          <w:tcPr>
            <w:tcW w:w="3140" w:type="dxa"/>
            <w:vAlign w:val="bottom"/>
          </w:tcPr>
          <w:p>
            <w:pPr>
              <w:spacing w:after="0"/>
              <w:rPr>
                <w:sz w:val="24"/>
                <w:szCs w:val="24"/>
                <w:color w:val="auto"/>
              </w:rPr>
            </w:pPr>
          </w:p>
        </w:tc>
        <w:tc>
          <w:tcPr>
            <w:tcW w:w="2380" w:type="dxa"/>
            <w:vAlign w:val="bottom"/>
          </w:tcPr>
          <w:p>
            <w:pPr>
              <w:ind w:left="1820"/>
              <w:spacing w:after="0"/>
              <w:rPr>
                <w:sz w:val="20"/>
                <w:szCs w:val="20"/>
                <w:color w:val="auto"/>
              </w:rPr>
            </w:pPr>
            <w:r>
              <w:rPr>
                <w:rFonts w:ascii="Arial" w:cs="Arial" w:eastAsia="Arial" w:hAnsi="Arial"/>
                <w:sz w:val="18"/>
                <w:szCs w:val="18"/>
                <w:color w:val="auto"/>
              </w:rPr>
              <w:t>By:</w:t>
            </w:r>
          </w:p>
        </w:tc>
        <w:tc>
          <w:tcPr>
            <w:tcW w:w="5500" w:type="dxa"/>
            <w:vAlign w:val="bottom"/>
            <w:gridSpan w:val="2"/>
          </w:tcPr>
          <w:p>
            <w:pPr>
              <w:spacing w:after="0"/>
              <w:rPr>
                <w:sz w:val="20"/>
                <w:szCs w:val="20"/>
                <w:color w:val="auto"/>
              </w:rPr>
            </w:pPr>
            <w:r>
              <w:rPr>
                <w:rFonts w:ascii="Arial" w:cs="Arial" w:eastAsia="Arial" w:hAnsi="Arial"/>
                <w:sz w:val="18"/>
                <w:szCs w:val="18"/>
                <w:color w:val="auto"/>
              </w:rPr>
              <w:t>Valor Equity Associates IV L.P., as general partner of its members</w:t>
            </w:r>
          </w:p>
        </w:tc>
      </w:tr>
      <w:tr>
        <w:trPr>
          <w:trHeight w:val="216"/>
        </w:trPr>
        <w:tc>
          <w:tcPr>
            <w:tcW w:w="3140" w:type="dxa"/>
            <w:vAlign w:val="bottom"/>
          </w:tcPr>
          <w:p>
            <w:pPr>
              <w:spacing w:after="0"/>
              <w:rPr>
                <w:sz w:val="18"/>
                <w:szCs w:val="18"/>
                <w:color w:val="auto"/>
              </w:rPr>
            </w:pPr>
          </w:p>
        </w:tc>
        <w:tc>
          <w:tcPr>
            <w:tcW w:w="2380" w:type="dxa"/>
            <w:vAlign w:val="bottom"/>
          </w:tcPr>
          <w:p>
            <w:pPr>
              <w:ind w:left="1820"/>
              <w:spacing w:after="0"/>
              <w:rPr>
                <w:sz w:val="20"/>
                <w:szCs w:val="20"/>
                <w:color w:val="auto"/>
              </w:rPr>
            </w:pPr>
            <w:r>
              <w:rPr>
                <w:rFonts w:ascii="Arial" w:cs="Arial" w:eastAsia="Arial" w:hAnsi="Arial"/>
                <w:sz w:val="18"/>
                <w:szCs w:val="18"/>
                <w:color w:val="auto"/>
              </w:rPr>
              <w:t>By:</w:t>
            </w:r>
          </w:p>
        </w:tc>
        <w:tc>
          <w:tcPr>
            <w:tcW w:w="5500" w:type="dxa"/>
            <w:vAlign w:val="bottom"/>
            <w:gridSpan w:val="2"/>
          </w:tcPr>
          <w:p>
            <w:pPr>
              <w:spacing w:after="0"/>
              <w:rPr>
                <w:sz w:val="20"/>
                <w:szCs w:val="20"/>
                <w:color w:val="auto"/>
              </w:rPr>
            </w:pPr>
            <w:r>
              <w:rPr>
                <w:rFonts w:ascii="Arial" w:cs="Arial" w:eastAsia="Arial" w:hAnsi="Arial"/>
                <w:sz w:val="18"/>
                <w:szCs w:val="18"/>
                <w:color w:val="auto"/>
              </w:rPr>
              <w:t>Valor Equity Capital IV LLC, its general partner</w:t>
            </w:r>
          </w:p>
        </w:tc>
      </w:tr>
      <w:tr>
        <w:trPr>
          <w:trHeight w:val="230"/>
        </w:trPr>
        <w:tc>
          <w:tcPr>
            <w:tcW w:w="3140" w:type="dxa"/>
            <w:vAlign w:val="bottom"/>
          </w:tcPr>
          <w:p>
            <w:pPr>
              <w:spacing w:after="0"/>
              <w:rPr>
                <w:sz w:val="20"/>
                <w:szCs w:val="20"/>
                <w:color w:val="auto"/>
              </w:rPr>
            </w:pPr>
          </w:p>
        </w:tc>
        <w:tc>
          <w:tcPr>
            <w:tcW w:w="2380" w:type="dxa"/>
            <w:vAlign w:val="bottom"/>
          </w:tcPr>
          <w:p>
            <w:pPr>
              <w:ind w:left="1820"/>
              <w:spacing w:after="0"/>
              <w:rPr>
                <w:sz w:val="20"/>
                <w:szCs w:val="20"/>
                <w:color w:val="auto"/>
              </w:rPr>
            </w:pPr>
            <w:r>
              <w:rPr>
                <w:rFonts w:ascii="Arial" w:cs="Arial" w:eastAsia="Arial" w:hAnsi="Arial"/>
                <w:sz w:val="18"/>
                <w:szCs w:val="18"/>
                <w:color w:val="auto"/>
              </w:rPr>
              <w:t>By:</w:t>
            </w:r>
          </w:p>
        </w:tc>
        <w:tc>
          <w:tcPr>
            <w:tcW w:w="5500" w:type="dxa"/>
            <w:vAlign w:val="bottom"/>
            <w:gridSpan w:val="2"/>
          </w:tcPr>
          <w:p>
            <w:pPr>
              <w:spacing w:after="0"/>
              <w:rPr>
                <w:sz w:val="20"/>
                <w:szCs w:val="20"/>
                <w:color w:val="auto"/>
              </w:rPr>
            </w:pPr>
            <w:r>
              <w:rPr>
                <w:rFonts w:ascii="Arial" w:cs="Arial" w:eastAsia="Arial" w:hAnsi="Arial"/>
                <w:sz w:val="18"/>
                <w:szCs w:val="18"/>
                <w:color w:val="auto"/>
              </w:rPr>
              <w:t>Valor Management L.P., its managing member</w:t>
            </w:r>
          </w:p>
        </w:tc>
      </w:tr>
      <w:tr>
        <w:trPr>
          <w:trHeight w:val="432"/>
        </w:trPr>
        <w:tc>
          <w:tcPr>
            <w:tcW w:w="3140" w:type="dxa"/>
            <w:vAlign w:val="bottom"/>
          </w:tcPr>
          <w:p>
            <w:pPr>
              <w:spacing w:after="0"/>
              <w:rPr>
                <w:sz w:val="24"/>
                <w:szCs w:val="24"/>
                <w:color w:val="auto"/>
              </w:rPr>
            </w:pPr>
          </w:p>
        </w:tc>
        <w:tc>
          <w:tcPr>
            <w:tcW w:w="2380" w:type="dxa"/>
            <w:vAlign w:val="bottom"/>
          </w:tcPr>
          <w:p>
            <w:pPr>
              <w:ind w:left="1820"/>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Antonio J. Gracias</w:t>
            </w:r>
          </w:p>
        </w:tc>
      </w:tr>
      <w:tr>
        <w:trPr>
          <w:trHeight w:val="209"/>
        </w:trPr>
        <w:tc>
          <w:tcPr>
            <w:tcW w:w="31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Pr>
          <w:p>
            <w:pPr>
              <w:ind w:left="80"/>
              <w:spacing w:after="0"/>
              <w:rPr>
                <w:sz w:val="20"/>
                <w:szCs w:val="20"/>
                <w:color w:val="auto"/>
              </w:rPr>
            </w:pPr>
            <w:r>
              <w:rPr>
                <w:rFonts w:ascii="Arial" w:cs="Arial" w:eastAsia="Arial" w:hAnsi="Arial"/>
                <w:sz w:val="18"/>
                <w:szCs w:val="18"/>
                <w:color w:val="auto"/>
              </w:rPr>
              <w:t>Antonio J. Gracias</w:t>
            </w:r>
          </w:p>
        </w:tc>
      </w:tr>
      <w:tr>
        <w:trPr>
          <w:trHeight w:val="230"/>
        </w:trPr>
        <w:tc>
          <w:tcPr>
            <w:tcW w:w="31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CEO</w:t>
            </w:r>
          </w:p>
        </w:tc>
      </w:tr>
      <w:tr>
        <w:trPr>
          <w:trHeight w:val="432"/>
        </w:trPr>
        <w:tc>
          <w:tcPr>
            <w:tcW w:w="3140" w:type="dxa"/>
            <w:vAlign w:val="bottom"/>
          </w:tcPr>
          <w:p>
            <w:pPr>
              <w:spacing w:after="0"/>
              <w:rPr>
                <w:sz w:val="24"/>
                <w:szCs w:val="24"/>
                <w:color w:val="auto"/>
              </w:rPr>
            </w:pPr>
          </w:p>
        </w:tc>
        <w:tc>
          <w:tcPr>
            <w:tcW w:w="7880" w:type="dxa"/>
            <w:vAlign w:val="bottom"/>
            <w:gridSpan w:val="3"/>
          </w:tcPr>
          <w:p>
            <w:pPr>
              <w:ind w:left="1820"/>
              <w:spacing w:after="0"/>
              <w:rPr>
                <w:sz w:val="20"/>
                <w:szCs w:val="20"/>
                <w:color w:val="auto"/>
              </w:rPr>
            </w:pPr>
            <w:r>
              <w:rPr>
                <w:rFonts w:ascii="Arial" w:cs="Arial" w:eastAsia="Arial" w:hAnsi="Arial"/>
                <w:sz w:val="18"/>
                <w:szCs w:val="18"/>
                <w:b w:val="1"/>
                <w:bCs w:val="1"/>
                <w:color w:val="auto"/>
              </w:rPr>
              <w:t>Valor Equity Partners IV L.P.</w:t>
            </w:r>
          </w:p>
        </w:tc>
      </w:tr>
      <w:tr>
        <w:trPr>
          <w:trHeight w:val="418"/>
        </w:trPr>
        <w:tc>
          <w:tcPr>
            <w:tcW w:w="3140" w:type="dxa"/>
            <w:vAlign w:val="bottom"/>
          </w:tcPr>
          <w:p>
            <w:pPr>
              <w:spacing w:after="0"/>
              <w:rPr>
                <w:sz w:val="24"/>
                <w:szCs w:val="24"/>
                <w:color w:val="auto"/>
              </w:rPr>
            </w:pPr>
          </w:p>
        </w:tc>
        <w:tc>
          <w:tcPr>
            <w:tcW w:w="2380" w:type="dxa"/>
            <w:vAlign w:val="bottom"/>
          </w:tcPr>
          <w:p>
            <w:pPr>
              <w:ind w:left="1820"/>
              <w:spacing w:after="0"/>
              <w:rPr>
                <w:sz w:val="20"/>
                <w:szCs w:val="20"/>
                <w:color w:val="auto"/>
              </w:rPr>
            </w:pPr>
            <w:r>
              <w:rPr>
                <w:rFonts w:ascii="Arial" w:cs="Arial" w:eastAsia="Arial" w:hAnsi="Arial"/>
                <w:sz w:val="18"/>
                <w:szCs w:val="18"/>
                <w:color w:val="auto"/>
              </w:rPr>
              <w:t>By:</w:t>
            </w:r>
          </w:p>
        </w:tc>
        <w:tc>
          <w:tcPr>
            <w:tcW w:w="5500" w:type="dxa"/>
            <w:vAlign w:val="bottom"/>
            <w:gridSpan w:val="2"/>
          </w:tcPr>
          <w:p>
            <w:pPr>
              <w:spacing w:after="0"/>
              <w:rPr>
                <w:sz w:val="20"/>
                <w:szCs w:val="20"/>
                <w:color w:val="auto"/>
              </w:rPr>
            </w:pPr>
            <w:r>
              <w:rPr>
                <w:rFonts w:ascii="Arial" w:cs="Arial" w:eastAsia="Arial" w:hAnsi="Arial"/>
                <w:sz w:val="18"/>
                <w:szCs w:val="18"/>
                <w:color w:val="auto"/>
              </w:rPr>
              <w:t>Valor Equity Associates IV L.P., its general partner</w:t>
            </w:r>
          </w:p>
        </w:tc>
      </w:tr>
      <w:tr>
        <w:trPr>
          <w:trHeight w:val="216"/>
        </w:trPr>
        <w:tc>
          <w:tcPr>
            <w:tcW w:w="3140" w:type="dxa"/>
            <w:vAlign w:val="bottom"/>
          </w:tcPr>
          <w:p>
            <w:pPr>
              <w:spacing w:after="0"/>
              <w:rPr>
                <w:sz w:val="18"/>
                <w:szCs w:val="18"/>
                <w:color w:val="auto"/>
              </w:rPr>
            </w:pPr>
          </w:p>
        </w:tc>
        <w:tc>
          <w:tcPr>
            <w:tcW w:w="2380" w:type="dxa"/>
            <w:vAlign w:val="bottom"/>
          </w:tcPr>
          <w:p>
            <w:pPr>
              <w:ind w:left="1820"/>
              <w:spacing w:after="0"/>
              <w:rPr>
                <w:sz w:val="20"/>
                <w:szCs w:val="20"/>
                <w:color w:val="auto"/>
              </w:rPr>
            </w:pPr>
            <w:r>
              <w:rPr>
                <w:rFonts w:ascii="Arial" w:cs="Arial" w:eastAsia="Arial" w:hAnsi="Arial"/>
                <w:sz w:val="18"/>
                <w:szCs w:val="18"/>
                <w:color w:val="auto"/>
              </w:rPr>
              <w:t>By:</w:t>
            </w:r>
          </w:p>
        </w:tc>
        <w:tc>
          <w:tcPr>
            <w:tcW w:w="5500" w:type="dxa"/>
            <w:vAlign w:val="bottom"/>
            <w:gridSpan w:val="2"/>
          </w:tcPr>
          <w:p>
            <w:pPr>
              <w:spacing w:after="0"/>
              <w:rPr>
                <w:sz w:val="20"/>
                <w:szCs w:val="20"/>
                <w:color w:val="auto"/>
              </w:rPr>
            </w:pPr>
            <w:r>
              <w:rPr>
                <w:rFonts w:ascii="Arial" w:cs="Arial" w:eastAsia="Arial" w:hAnsi="Arial"/>
                <w:sz w:val="18"/>
                <w:szCs w:val="18"/>
                <w:color w:val="auto"/>
              </w:rPr>
              <w:t>Valor Equity Capital IV LLC, its general partner</w:t>
            </w:r>
          </w:p>
        </w:tc>
      </w:tr>
      <w:tr>
        <w:trPr>
          <w:trHeight w:val="230"/>
        </w:trPr>
        <w:tc>
          <w:tcPr>
            <w:tcW w:w="3140" w:type="dxa"/>
            <w:vAlign w:val="bottom"/>
          </w:tcPr>
          <w:p>
            <w:pPr>
              <w:spacing w:after="0"/>
              <w:rPr>
                <w:sz w:val="20"/>
                <w:szCs w:val="20"/>
                <w:color w:val="auto"/>
              </w:rPr>
            </w:pPr>
          </w:p>
        </w:tc>
        <w:tc>
          <w:tcPr>
            <w:tcW w:w="2380" w:type="dxa"/>
            <w:vAlign w:val="bottom"/>
          </w:tcPr>
          <w:p>
            <w:pPr>
              <w:ind w:left="1820"/>
              <w:spacing w:after="0"/>
              <w:rPr>
                <w:sz w:val="20"/>
                <w:szCs w:val="20"/>
                <w:color w:val="auto"/>
              </w:rPr>
            </w:pPr>
            <w:r>
              <w:rPr>
                <w:rFonts w:ascii="Arial" w:cs="Arial" w:eastAsia="Arial" w:hAnsi="Arial"/>
                <w:sz w:val="18"/>
                <w:szCs w:val="18"/>
                <w:color w:val="auto"/>
              </w:rPr>
              <w:t>By:</w:t>
            </w:r>
          </w:p>
        </w:tc>
        <w:tc>
          <w:tcPr>
            <w:tcW w:w="5500" w:type="dxa"/>
            <w:vAlign w:val="bottom"/>
            <w:gridSpan w:val="2"/>
          </w:tcPr>
          <w:p>
            <w:pPr>
              <w:spacing w:after="0"/>
              <w:rPr>
                <w:sz w:val="20"/>
                <w:szCs w:val="20"/>
                <w:color w:val="auto"/>
              </w:rPr>
            </w:pPr>
            <w:r>
              <w:rPr>
                <w:rFonts w:ascii="Arial" w:cs="Arial" w:eastAsia="Arial" w:hAnsi="Arial"/>
                <w:sz w:val="18"/>
                <w:szCs w:val="18"/>
                <w:color w:val="auto"/>
              </w:rPr>
              <w:t>Valor Management L.P., its managing member</w:t>
            </w:r>
          </w:p>
        </w:tc>
      </w:tr>
      <w:tr>
        <w:trPr>
          <w:trHeight w:val="432"/>
        </w:trPr>
        <w:tc>
          <w:tcPr>
            <w:tcW w:w="3140" w:type="dxa"/>
            <w:vAlign w:val="bottom"/>
          </w:tcPr>
          <w:p>
            <w:pPr>
              <w:spacing w:after="0"/>
              <w:rPr>
                <w:sz w:val="24"/>
                <w:szCs w:val="24"/>
                <w:color w:val="auto"/>
              </w:rPr>
            </w:pPr>
          </w:p>
        </w:tc>
        <w:tc>
          <w:tcPr>
            <w:tcW w:w="2380" w:type="dxa"/>
            <w:vAlign w:val="bottom"/>
          </w:tcPr>
          <w:p>
            <w:pPr>
              <w:ind w:left="1820"/>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Antonio J. Gracias</w:t>
            </w:r>
          </w:p>
        </w:tc>
      </w:tr>
      <w:tr>
        <w:trPr>
          <w:trHeight w:val="209"/>
        </w:trPr>
        <w:tc>
          <w:tcPr>
            <w:tcW w:w="31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Pr>
          <w:p>
            <w:pPr>
              <w:ind w:left="80"/>
              <w:spacing w:after="0"/>
              <w:rPr>
                <w:sz w:val="20"/>
                <w:szCs w:val="20"/>
                <w:color w:val="auto"/>
              </w:rPr>
            </w:pPr>
            <w:r>
              <w:rPr>
                <w:rFonts w:ascii="Arial" w:cs="Arial" w:eastAsia="Arial" w:hAnsi="Arial"/>
                <w:sz w:val="18"/>
                <w:szCs w:val="18"/>
                <w:color w:val="auto"/>
              </w:rPr>
              <w:t>Antonio J. Gracias</w:t>
            </w:r>
          </w:p>
        </w:tc>
      </w:tr>
      <w:tr>
        <w:trPr>
          <w:trHeight w:val="230"/>
        </w:trPr>
        <w:tc>
          <w:tcPr>
            <w:tcW w:w="31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CEO</w:t>
            </w:r>
          </w:p>
        </w:tc>
      </w:tr>
      <w:tr>
        <w:trPr>
          <w:trHeight w:val="432"/>
        </w:trPr>
        <w:tc>
          <w:tcPr>
            <w:tcW w:w="3140" w:type="dxa"/>
            <w:vAlign w:val="bottom"/>
          </w:tcPr>
          <w:p>
            <w:pPr>
              <w:spacing w:after="0"/>
              <w:rPr>
                <w:sz w:val="24"/>
                <w:szCs w:val="24"/>
                <w:color w:val="auto"/>
              </w:rPr>
            </w:pPr>
          </w:p>
        </w:tc>
        <w:tc>
          <w:tcPr>
            <w:tcW w:w="7880" w:type="dxa"/>
            <w:vAlign w:val="bottom"/>
            <w:gridSpan w:val="3"/>
          </w:tcPr>
          <w:p>
            <w:pPr>
              <w:ind w:left="1820"/>
              <w:spacing w:after="0"/>
              <w:rPr>
                <w:sz w:val="20"/>
                <w:szCs w:val="20"/>
                <w:color w:val="auto"/>
              </w:rPr>
            </w:pPr>
            <w:r>
              <w:rPr>
                <w:rFonts w:ascii="Arial" w:cs="Arial" w:eastAsia="Arial" w:hAnsi="Arial"/>
                <w:sz w:val="18"/>
                <w:szCs w:val="18"/>
                <w:b w:val="1"/>
                <w:bCs w:val="1"/>
                <w:color w:val="auto"/>
              </w:rPr>
              <w:t>Valor Equity Partners IV-A L.P.</w:t>
            </w:r>
          </w:p>
        </w:tc>
      </w:tr>
      <w:tr>
        <w:trPr>
          <w:trHeight w:val="418"/>
        </w:trPr>
        <w:tc>
          <w:tcPr>
            <w:tcW w:w="3140" w:type="dxa"/>
            <w:vAlign w:val="bottom"/>
          </w:tcPr>
          <w:p>
            <w:pPr>
              <w:spacing w:after="0"/>
              <w:rPr>
                <w:sz w:val="24"/>
                <w:szCs w:val="24"/>
                <w:color w:val="auto"/>
              </w:rPr>
            </w:pPr>
          </w:p>
        </w:tc>
        <w:tc>
          <w:tcPr>
            <w:tcW w:w="2380" w:type="dxa"/>
            <w:vAlign w:val="bottom"/>
          </w:tcPr>
          <w:p>
            <w:pPr>
              <w:ind w:left="1820"/>
              <w:spacing w:after="0"/>
              <w:rPr>
                <w:sz w:val="20"/>
                <w:szCs w:val="20"/>
                <w:color w:val="auto"/>
              </w:rPr>
            </w:pPr>
            <w:r>
              <w:rPr>
                <w:rFonts w:ascii="Arial" w:cs="Arial" w:eastAsia="Arial" w:hAnsi="Arial"/>
                <w:sz w:val="18"/>
                <w:szCs w:val="18"/>
                <w:color w:val="auto"/>
              </w:rPr>
              <w:t>By:</w:t>
            </w:r>
          </w:p>
        </w:tc>
        <w:tc>
          <w:tcPr>
            <w:tcW w:w="5500" w:type="dxa"/>
            <w:vAlign w:val="bottom"/>
            <w:gridSpan w:val="2"/>
          </w:tcPr>
          <w:p>
            <w:pPr>
              <w:spacing w:after="0"/>
              <w:rPr>
                <w:sz w:val="20"/>
                <w:szCs w:val="20"/>
                <w:color w:val="auto"/>
              </w:rPr>
            </w:pPr>
            <w:r>
              <w:rPr>
                <w:rFonts w:ascii="Arial" w:cs="Arial" w:eastAsia="Arial" w:hAnsi="Arial"/>
                <w:sz w:val="18"/>
                <w:szCs w:val="18"/>
                <w:color w:val="auto"/>
              </w:rPr>
              <w:t>Valor Equity Associates IV L.P., its general partner</w:t>
            </w:r>
          </w:p>
        </w:tc>
      </w:tr>
      <w:tr>
        <w:trPr>
          <w:trHeight w:val="216"/>
        </w:trPr>
        <w:tc>
          <w:tcPr>
            <w:tcW w:w="3140" w:type="dxa"/>
            <w:vAlign w:val="bottom"/>
          </w:tcPr>
          <w:p>
            <w:pPr>
              <w:spacing w:after="0"/>
              <w:rPr>
                <w:sz w:val="18"/>
                <w:szCs w:val="18"/>
                <w:color w:val="auto"/>
              </w:rPr>
            </w:pPr>
          </w:p>
        </w:tc>
        <w:tc>
          <w:tcPr>
            <w:tcW w:w="2380" w:type="dxa"/>
            <w:vAlign w:val="bottom"/>
          </w:tcPr>
          <w:p>
            <w:pPr>
              <w:ind w:left="1820"/>
              <w:spacing w:after="0"/>
              <w:rPr>
                <w:sz w:val="20"/>
                <w:szCs w:val="20"/>
                <w:color w:val="auto"/>
              </w:rPr>
            </w:pPr>
            <w:r>
              <w:rPr>
                <w:rFonts w:ascii="Arial" w:cs="Arial" w:eastAsia="Arial" w:hAnsi="Arial"/>
                <w:sz w:val="18"/>
                <w:szCs w:val="18"/>
                <w:color w:val="auto"/>
              </w:rPr>
              <w:t>By:</w:t>
            </w:r>
          </w:p>
        </w:tc>
        <w:tc>
          <w:tcPr>
            <w:tcW w:w="5500" w:type="dxa"/>
            <w:vAlign w:val="bottom"/>
            <w:gridSpan w:val="2"/>
          </w:tcPr>
          <w:p>
            <w:pPr>
              <w:spacing w:after="0"/>
              <w:rPr>
                <w:sz w:val="20"/>
                <w:szCs w:val="20"/>
                <w:color w:val="auto"/>
              </w:rPr>
            </w:pPr>
            <w:r>
              <w:rPr>
                <w:rFonts w:ascii="Arial" w:cs="Arial" w:eastAsia="Arial" w:hAnsi="Arial"/>
                <w:sz w:val="18"/>
                <w:szCs w:val="18"/>
                <w:color w:val="auto"/>
              </w:rPr>
              <w:t>Valor Equity Capital IV LLC, its general partner</w:t>
            </w:r>
          </w:p>
        </w:tc>
      </w:tr>
      <w:tr>
        <w:trPr>
          <w:trHeight w:val="230"/>
        </w:trPr>
        <w:tc>
          <w:tcPr>
            <w:tcW w:w="3140" w:type="dxa"/>
            <w:vAlign w:val="bottom"/>
          </w:tcPr>
          <w:p>
            <w:pPr>
              <w:spacing w:after="0"/>
              <w:rPr>
                <w:sz w:val="20"/>
                <w:szCs w:val="20"/>
                <w:color w:val="auto"/>
              </w:rPr>
            </w:pPr>
          </w:p>
        </w:tc>
        <w:tc>
          <w:tcPr>
            <w:tcW w:w="2380" w:type="dxa"/>
            <w:vAlign w:val="bottom"/>
          </w:tcPr>
          <w:p>
            <w:pPr>
              <w:ind w:left="1820"/>
              <w:spacing w:after="0"/>
              <w:rPr>
                <w:sz w:val="20"/>
                <w:szCs w:val="20"/>
                <w:color w:val="auto"/>
              </w:rPr>
            </w:pPr>
            <w:r>
              <w:rPr>
                <w:rFonts w:ascii="Arial" w:cs="Arial" w:eastAsia="Arial" w:hAnsi="Arial"/>
                <w:sz w:val="18"/>
                <w:szCs w:val="18"/>
                <w:color w:val="auto"/>
              </w:rPr>
              <w:t>By:</w:t>
            </w:r>
          </w:p>
        </w:tc>
        <w:tc>
          <w:tcPr>
            <w:tcW w:w="5500" w:type="dxa"/>
            <w:vAlign w:val="bottom"/>
            <w:gridSpan w:val="2"/>
          </w:tcPr>
          <w:p>
            <w:pPr>
              <w:spacing w:after="0"/>
              <w:rPr>
                <w:sz w:val="20"/>
                <w:szCs w:val="20"/>
                <w:color w:val="auto"/>
              </w:rPr>
            </w:pPr>
            <w:r>
              <w:rPr>
                <w:rFonts w:ascii="Arial" w:cs="Arial" w:eastAsia="Arial" w:hAnsi="Arial"/>
                <w:sz w:val="18"/>
                <w:szCs w:val="18"/>
                <w:color w:val="auto"/>
              </w:rPr>
              <w:t>Valor Management L.P., its managing member</w:t>
            </w:r>
          </w:p>
        </w:tc>
      </w:tr>
      <w:tr>
        <w:trPr>
          <w:trHeight w:val="432"/>
        </w:trPr>
        <w:tc>
          <w:tcPr>
            <w:tcW w:w="3140" w:type="dxa"/>
            <w:vAlign w:val="bottom"/>
          </w:tcPr>
          <w:p>
            <w:pPr>
              <w:spacing w:after="0"/>
              <w:rPr>
                <w:sz w:val="24"/>
                <w:szCs w:val="24"/>
                <w:color w:val="auto"/>
              </w:rPr>
            </w:pPr>
          </w:p>
        </w:tc>
        <w:tc>
          <w:tcPr>
            <w:tcW w:w="2380" w:type="dxa"/>
            <w:vAlign w:val="bottom"/>
          </w:tcPr>
          <w:p>
            <w:pPr>
              <w:ind w:left="1820"/>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Antonio J. Gracias</w:t>
            </w:r>
          </w:p>
        </w:tc>
      </w:tr>
      <w:tr>
        <w:trPr>
          <w:trHeight w:val="209"/>
        </w:trPr>
        <w:tc>
          <w:tcPr>
            <w:tcW w:w="31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Pr>
          <w:p>
            <w:pPr>
              <w:ind w:left="80"/>
              <w:spacing w:after="0"/>
              <w:rPr>
                <w:sz w:val="20"/>
                <w:szCs w:val="20"/>
                <w:color w:val="auto"/>
              </w:rPr>
            </w:pPr>
            <w:r>
              <w:rPr>
                <w:rFonts w:ascii="Arial" w:cs="Arial" w:eastAsia="Arial" w:hAnsi="Arial"/>
                <w:sz w:val="18"/>
                <w:szCs w:val="18"/>
                <w:color w:val="auto"/>
              </w:rPr>
              <w:t>Antonio J. Gracias</w:t>
            </w:r>
          </w:p>
        </w:tc>
      </w:tr>
      <w:tr>
        <w:trPr>
          <w:trHeight w:val="230"/>
        </w:trPr>
        <w:tc>
          <w:tcPr>
            <w:tcW w:w="31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CEO</w:t>
            </w:r>
          </w:p>
        </w:tc>
      </w:tr>
      <w:tr>
        <w:trPr>
          <w:trHeight w:val="432"/>
        </w:trPr>
        <w:tc>
          <w:tcPr>
            <w:tcW w:w="3140" w:type="dxa"/>
            <w:vAlign w:val="bottom"/>
          </w:tcPr>
          <w:p>
            <w:pPr>
              <w:spacing w:after="0"/>
              <w:rPr>
                <w:sz w:val="24"/>
                <w:szCs w:val="24"/>
                <w:color w:val="auto"/>
              </w:rPr>
            </w:pPr>
          </w:p>
        </w:tc>
        <w:tc>
          <w:tcPr>
            <w:tcW w:w="7880" w:type="dxa"/>
            <w:vAlign w:val="bottom"/>
            <w:gridSpan w:val="3"/>
          </w:tcPr>
          <w:p>
            <w:pPr>
              <w:ind w:left="1820"/>
              <w:spacing w:after="0"/>
              <w:rPr>
                <w:sz w:val="20"/>
                <w:szCs w:val="20"/>
                <w:color w:val="auto"/>
              </w:rPr>
            </w:pPr>
            <w:r>
              <w:rPr>
                <w:rFonts w:ascii="Arial" w:cs="Arial" w:eastAsia="Arial" w:hAnsi="Arial"/>
                <w:sz w:val="18"/>
                <w:szCs w:val="18"/>
                <w:b w:val="1"/>
                <w:bCs w:val="1"/>
                <w:color w:val="auto"/>
              </w:rPr>
              <w:t>Valor Equity Partners IV-B L.P.</w:t>
            </w:r>
          </w:p>
        </w:tc>
      </w:tr>
      <w:tr>
        <w:trPr>
          <w:trHeight w:val="418"/>
        </w:trPr>
        <w:tc>
          <w:tcPr>
            <w:tcW w:w="3140" w:type="dxa"/>
            <w:vAlign w:val="bottom"/>
          </w:tcPr>
          <w:p>
            <w:pPr>
              <w:spacing w:after="0"/>
              <w:rPr>
                <w:sz w:val="24"/>
                <w:szCs w:val="24"/>
                <w:color w:val="auto"/>
              </w:rPr>
            </w:pPr>
          </w:p>
        </w:tc>
        <w:tc>
          <w:tcPr>
            <w:tcW w:w="2380" w:type="dxa"/>
            <w:vAlign w:val="bottom"/>
          </w:tcPr>
          <w:p>
            <w:pPr>
              <w:ind w:left="1820"/>
              <w:spacing w:after="0"/>
              <w:rPr>
                <w:sz w:val="20"/>
                <w:szCs w:val="20"/>
                <w:color w:val="auto"/>
              </w:rPr>
            </w:pPr>
            <w:r>
              <w:rPr>
                <w:rFonts w:ascii="Arial" w:cs="Arial" w:eastAsia="Arial" w:hAnsi="Arial"/>
                <w:sz w:val="18"/>
                <w:szCs w:val="18"/>
                <w:color w:val="auto"/>
              </w:rPr>
              <w:t>By:</w:t>
            </w:r>
          </w:p>
        </w:tc>
        <w:tc>
          <w:tcPr>
            <w:tcW w:w="5500" w:type="dxa"/>
            <w:vAlign w:val="bottom"/>
            <w:gridSpan w:val="2"/>
          </w:tcPr>
          <w:p>
            <w:pPr>
              <w:spacing w:after="0"/>
              <w:rPr>
                <w:sz w:val="20"/>
                <w:szCs w:val="20"/>
                <w:color w:val="auto"/>
              </w:rPr>
            </w:pPr>
            <w:r>
              <w:rPr>
                <w:rFonts w:ascii="Arial" w:cs="Arial" w:eastAsia="Arial" w:hAnsi="Arial"/>
                <w:sz w:val="18"/>
                <w:szCs w:val="18"/>
                <w:color w:val="auto"/>
              </w:rPr>
              <w:t>Valor Equity Associates IV L.P., its general partner</w:t>
            </w:r>
          </w:p>
        </w:tc>
      </w:tr>
      <w:tr>
        <w:trPr>
          <w:trHeight w:val="216"/>
        </w:trPr>
        <w:tc>
          <w:tcPr>
            <w:tcW w:w="3140" w:type="dxa"/>
            <w:vAlign w:val="bottom"/>
          </w:tcPr>
          <w:p>
            <w:pPr>
              <w:spacing w:after="0"/>
              <w:rPr>
                <w:sz w:val="18"/>
                <w:szCs w:val="18"/>
                <w:color w:val="auto"/>
              </w:rPr>
            </w:pPr>
          </w:p>
        </w:tc>
        <w:tc>
          <w:tcPr>
            <w:tcW w:w="2380" w:type="dxa"/>
            <w:vAlign w:val="bottom"/>
          </w:tcPr>
          <w:p>
            <w:pPr>
              <w:ind w:left="1820"/>
              <w:spacing w:after="0"/>
              <w:rPr>
                <w:sz w:val="20"/>
                <w:szCs w:val="20"/>
                <w:color w:val="auto"/>
              </w:rPr>
            </w:pPr>
            <w:r>
              <w:rPr>
                <w:rFonts w:ascii="Arial" w:cs="Arial" w:eastAsia="Arial" w:hAnsi="Arial"/>
                <w:sz w:val="18"/>
                <w:szCs w:val="18"/>
                <w:color w:val="auto"/>
              </w:rPr>
              <w:t>By:</w:t>
            </w:r>
          </w:p>
        </w:tc>
        <w:tc>
          <w:tcPr>
            <w:tcW w:w="5500" w:type="dxa"/>
            <w:vAlign w:val="bottom"/>
            <w:gridSpan w:val="2"/>
          </w:tcPr>
          <w:p>
            <w:pPr>
              <w:spacing w:after="0"/>
              <w:rPr>
                <w:sz w:val="20"/>
                <w:szCs w:val="20"/>
                <w:color w:val="auto"/>
              </w:rPr>
            </w:pPr>
            <w:r>
              <w:rPr>
                <w:rFonts w:ascii="Arial" w:cs="Arial" w:eastAsia="Arial" w:hAnsi="Arial"/>
                <w:sz w:val="18"/>
                <w:szCs w:val="18"/>
                <w:color w:val="auto"/>
              </w:rPr>
              <w:t>Valor Equity Capital IV LLC, its general partner</w:t>
            </w:r>
          </w:p>
        </w:tc>
      </w:tr>
      <w:tr>
        <w:trPr>
          <w:trHeight w:val="230"/>
        </w:trPr>
        <w:tc>
          <w:tcPr>
            <w:tcW w:w="3140" w:type="dxa"/>
            <w:vAlign w:val="bottom"/>
          </w:tcPr>
          <w:p>
            <w:pPr>
              <w:spacing w:after="0"/>
              <w:rPr>
                <w:sz w:val="20"/>
                <w:szCs w:val="20"/>
                <w:color w:val="auto"/>
              </w:rPr>
            </w:pPr>
          </w:p>
        </w:tc>
        <w:tc>
          <w:tcPr>
            <w:tcW w:w="2380" w:type="dxa"/>
            <w:vAlign w:val="bottom"/>
          </w:tcPr>
          <w:p>
            <w:pPr>
              <w:ind w:left="1820"/>
              <w:spacing w:after="0"/>
              <w:rPr>
                <w:sz w:val="20"/>
                <w:szCs w:val="20"/>
                <w:color w:val="auto"/>
              </w:rPr>
            </w:pPr>
            <w:r>
              <w:rPr>
                <w:rFonts w:ascii="Arial" w:cs="Arial" w:eastAsia="Arial" w:hAnsi="Arial"/>
                <w:sz w:val="18"/>
                <w:szCs w:val="18"/>
                <w:color w:val="auto"/>
              </w:rPr>
              <w:t>By:</w:t>
            </w:r>
          </w:p>
        </w:tc>
        <w:tc>
          <w:tcPr>
            <w:tcW w:w="5500" w:type="dxa"/>
            <w:vAlign w:val="bottom"/>
            <w:gridSpan w:val="2"/>
          </w:tcPr>
          <w:p>
            <w:pPr>
              <w:spacing w:after="0"/>
              <w:rPr>
                <w:sz w:val="20"/>
                <w:szCs w:val="20"/>
                <w:color w:val="auto"/>
              </w:rPr>
            </w:pPr>
            <w:r>
              <w:rPr>
                <w:rFonts w:ascii="Arial" w:cs="Arial" w:eastAsia="Arial" w:hAnsi="Arial"/>
                <w:sz w:val="18"/>
                <w:szCs w:val="18"/>
                <w:color w:val="auto"/>
              </w:rPr>
              <w:t>Valor Management L.P., its managing member</w:t>
            </w:r>
          </w:p>
        </w:tc>
      </w:tr>
      <w:tr>
        <w:trPr>
          <w:trHeight w:val="432"/>
        </w:trPr>
        <w:tc>
          <w:tcPr>
            <w:tcW w:w="3140" w:type="dxa"/>
            <w:vAlign w:val="bottom"/>
          </w:tcPr>
          <w:p>
            <w:pPr>
              <w:spacing w:after="0"/>
              <w:rPr>
                <w:sz w:val="24"/>
                <w:szCs w:val="24"/>
                <w:color w:val="auto"/>
              </w:rPr>
            </w:pPr>
          </w:p>
        </w:tc>
        <w:tc>
          <w:tcPr>
            <w:tcW w:w="2380" w:type="dxa"/>
            <w:vAlign w:val="bottom"/>
          </w:tcPr>
          <w:p>
            <w:pPr>
              <w:ind w:left="1820"/>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Antonio J. Gracias</w:t>
            </w:r>
          </w:p>
        </w:tc>
      </w:tr>
      <w:tr>
        <w:trPr>
          <w:trHeight w:val="209"/>
        </w:trPr>
        <w:tc>
          <w:tcPr>
            <w:tcW w:w="31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Pr>
          <w:p>
            <w:pPr>
              <w:ind w:left="80"/>
              <w:spacing w:after="0"/>
              <w:rPr>
                <w:sz w:val="20"/>
                <w:szCs w:val="20"/>
                <w:color w:val="auto"/>
              </w:rPr>
            </w:pPr>
            <w:r>
              <w:rPr>
                <w:rFonts w:ascii="Arial" w:cs="Arial" w:eastAsia="Arial" w:hAnsi="Arial"/>
                <w:sz w:val="18"/>
                <w:szCs w:val="18"/>
                <w:color w:val="auto"/>
              </w:rPr>
              <w:t>Antonio J. Gracias</w:t>
            </w:r>
          </w:p>
        </w:tc>
      </w:tr>
      <w:tr>
        <w:trPr>
          <w:trHeight w:val="230"/>
        </w:trPr>
        <w:tc>
          <w:tcPr>
            <w:tcW w:w="31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CEO</w:t>
            </w:r>
          </w:p>
        </w:tc>
      </w:tr>
    </w:tbl>
    <w:p>
      <w:pPr>
        <w:sectPr>
          <w:pgSz w:w="11900" w:h="16838" w:orient="portrait"/>
          <w:cols w:equalWidth="0" w:num="1">
            <w:col w:w="11020"/>
          </w:cols>
          <w:pgMar w:left="440" w:top="270" w:right="439" w:bottom="1440" w:gutter="0" w:footer="0" w:header="0"/>
        </w:sectPr>
      </w:pPr>
    </w:p>
    <w:bookmarkStart w:id="11" w:name="page12"/>
    <w:bookmarkEnd w:id="11"/>
    <w:p>
      <w:pPr>
        <w:jc w:val="center"/>
        <w:ind w:right="-29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Valor Equity Associates IV L.P.</w:t>
      </w:r>
    </w:p>
    <w:p>
      <w:pPr>
        <w:spacing w:after="0" w:line="252" w:lineRule="exact"/>
        <w:rPr>
          <w:sz w:val="20"/>
          <w:szCs w:val="20"/>
          <w:color w:val="auto"/>
        </w:rPr>
      </w:pPr>
    </w:p>
    <w:tbl>
      <w:tblPr>
        <w:tblLayout w:type="fixed"/>
        <w:tblInd w:w="396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500" w:type="dxa"/>
            <w:vAlign w:val="bottom"/>
            <w:gridSpan w:val="2"/>
          </w:tcPr>
          <w:p>
            <w:pPr>
              <w:spacing w:after="0"/>
              <w:rPr>
                <w:sz w:val="20"/>
                <w:szCs w:val="20"/>
                <w:color w:val="auto"/>
              </w:rPr>
            </w:pPr>
            <w:r>
              <w:rPr>
                <w:rFonts w:ascii="Arial" w:cs="Arial" w:eastAsia="Arial" w:hAnsi="Arial"/>
                <w:sz w:val="18"/>
                <w:szCs w:val="18"/>
                <w:color w:val="auto"/>
              </w:rPr>
              <w:t>Valor Equity Capital IV LLC, its general partner</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500" w:type="dxa"/>
            <w:vAlign w:val="bottom"/>
            <w:gridSpan w:val="2"/>
          </w:tcPr>
          <w:p>
            <w:pPr>
              <w:spacing w:after="0"/>
              <w:rPr>
                <w:sz w:val="20"/>
                <w:szCs w:val="20"/>
                <w:color w:val="auto"/>
              </w:rPr>
            </w:pPr>
            <w:r>
              <w:rPr>
                <w:rFonts w:ascii="Arial" w:cs="Arial" w:eastAsia="Arial" w:hAnsi="Arial"/>
                <w:sz w:val="18"/>
                <w:szCs w:val="18"/>
                <w:color w:val="auto"/>
              </w:rPr>
              <w:t>Valor Management L.P., its managing member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Antonio J. Gracias</w:t>
            </w:r>
          </w:p>
        </w:tc>
      </w:tr>
      <w:tr>
        <w:trPr>
          <w:trHeight w:val="209"/>
        </w:trPr>
        <w:tc>
          <w:tcPr>
            <w:tcW w:w="5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Pr>
          <w:p>
            <w:pPr>
              <w:ind w:left="80"/>
              <w:spacing w:after="0"/>
              <w:rPr>
                <w:sz w:val="20"/>
                <w:szCs w:val="20"/>
                <w:color w:val="auto"/>
              </w:rPr>
            </w:pPr>
            <w:r>
              <w:rPr>
                <w:rFonts w:ascii="Arial" w:cs="Arial" w:eastAsia="Arial" w:hAnsi="Arial"/>
                <w:sz w:val="18"/>
                <w:szCs w:val="18"/>
                <w:color w:val="auto"/>
              </w:rPr>
              <w:t>Antonio J. Gracias</w:t>
            </w:r>
          </w:p>
        </w:tc>
      </w:tr>
      <w:tr>
        <w:trPr>
          <w:trHeight w:val="230"/>
        </w:trPr>
        <w:tc>
          <w:tcPr>
            <w:tcW w:w="5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CEO</w:t>
            </w:r>
          </w:p>
        </w:tc>
      </w:tr>
      <w:tr>
        <w:trPr>
          <w:trHeight w:val="432"/>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Valor Equity Capital IV LLC</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500" w:type="dxa"/>
            <w:vAlign w:val="bottom"/>
            <w:gridSpan w:val="2"/>
          </w:tcPr>
          <w:p>
            <w:pPr>
              <w:spacing w:after="0"/>
              <w:rPr>
                <w:sz w:val="20"/>
                <w:szCs w:val="20"/>
                <w:color w:val="auto"/>
              </w:rPr>
            </w:pPr>
            <w:r>
              <w:rPr>
                <w:rFonts w:ascii="Arial" w:cs="Arial" w:eastAsia="Arial" w:hAnsi="Arial"/>
                <w:sz w:val="18"/>
                <w:szCs w:val="18"/>
                <w:color w:val="auto"/>
              </w:rPr>
              <w:t>Valor Management L.P., its managing member</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Antonio J. Gracias</w:t>
            </w:r>
          </w:p>
        </w:tc>
      </w:tr>
      <w:tr>
        <w:trPr>
          <w:trHeight w:val="209"/>
        </w:trPr>
        <w:tc>
          <w:tcPr>
            <w:tcW w:w="5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Pr>
          <w:p>
            <w:pPr>
              <w:ind w:left="80"/>
              <w:spacing w:after="0"/>
              <w:rPr>
                <w:sz w:val="20"/>
                <w:szCs w:val="20"/>
                <w:color w:val="auto"/>
              </w:rPr>
            </w:pPr>
            <w:r>
              <w:rPr>
                <w:rFonts w:ascii="Arial" w:cs="Arial" w:eastAsia="Arial" w:hAnsi="Arial"/>
                <w:sz w:val="18"/>
                <w:szCs w:val="18"/>
                <w:color w:val="auto"/>
              </w:rPr>
              <w:t>Antonio J. Gracias</w:t>
            </w:r>
          </w:p>
        </w:tc>
      </w:tr>
      <w:tr>
        <w:trPr>
          <w:trHeight w:val="230"/>
        </w:trPr>
        <w:tc>
          <w:tcPr>
            <w:tcW w:w="5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CEO</w:t>
            </w:r>
          </w:p>
        </w:tc>
      </w:tr>
      <w:tr>
        <w:trPr>
          <w:trHeight w:val="432"/>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Valor Management L.P.</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Antonio J. Gracias</w:t>
            </w:r>
          </w:p>
        </w:tc>
      </w:tr>
      <w:tr>
        <w:trPr>
          <w:trHeight w:val="209"/>
        </w:trPr>
        <w:tc>
          <w:tcPr>
            <w:tcW w:w="5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Pr>
          <w:p>
            <w:pPr>
              <w:ind w:left="80"/>
              <w:spacing w:after="0"/>
              <w:rPr>
                <w:sz w:val="20"/>
                <w:szCs w:val="20"/>
                <w:color w:val="auto"/>
              </w:rPr>
            </w:pPr>
            <w:r>
              <w:rPr>
                <w:rFonts w:ascii="Arial" w:cs="Arial" w:eastAsia="Arial" w:hAnsi="Arial"/>
                <w:sz w:val="18"/>
                <w:szCs w:val="18"/>
                <w:color w:val="auto"/>
              </w:rPr>
              <w:t>Antonio J. Gracias</w:t>
            </w:r>
          </w:p>
        </w:tc>
      </w:tr>
      <w:tr>
        <w:trPr>
          <w:trHeight w:val="230"/>
        </w:trPr>
        <w:tc>
          <w:tcPr>
            <w:tcW w:w="5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CEO</w:t>
            </w:r>
          </w:p>
        </w:tc>
      </w:tr>
    </w:tbl>
    <w:p>
      <w:pPr>
        <w:spacing w:after="0" w:line="202"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 Antonio J. Gracias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14605</wp:posOffset>
            </wp:positionV>
            <wp:extent cx="38487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16"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Name: Antonio J. Gracias</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 Juan A. Sabater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14605</wp:posOffset>
            </wp:positionV>
            <wp:extent cx="38487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16"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Name: Juan A. Sabater</w:t>
      </w:r>
    </w:p>
    <w:p>
      <w:pPr>
        <w:sectPr>
          <w:pgSz w:w="11900" w:h="16838" w:orient="portrait"/>
          <w:cols w:equalWidth="0" w:num="1">
            <w:col w:w="10020"/>
          </w:cols>
          <w:pgMar w:left="1440" w:top="270" w:right="4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Joint Filer Agreement</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undersigned hereby agree and acknowledge that the statement containing the information required by Schedule 13G, to which this agreement is attached as an exhibit, is filed on behalf of each of them, and any amendments or supplements to the Schedule 13G shall also be filed on behalf of each of them.</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r>
              <w:rPr>
                <w:rFonts w:ascii="Arial" w:cs="Arial" w:eastAsia="Arial" w:hAnsi="Arial"/>
                <w:sz w:val="18"/>
                <w:szCs w:val="18"/>
                <w:color w:val="auto"/>
              </w:rPr>
              <w:t>Dated: February 16, 2021</w:t>
            </w:r>
          </w:p>
        </w:tc>
        <w:tc>
          <w:tcPr>
            <w:tcW w:w="7620" w:type="dxa"/>
            <w:vAlign w:val="bottom"/>
            <w:gridSpan w:val="3"/>
          </w:tcPr>
          <w:p>
            <w:pPr>
              <w:ind w:left="1560"/>
              <w:spacing w:after="0"/>
              <w:rPr>
                <w:sz w:val="20"/>
                <w:szCs w:val="20"/>
                <w:color w:val="auto"/>
              </w:rPr>
            </w:pPr>
            <w:r>
              <w:rPr>
                <w:rFonts w:ascii="Arial" w:cs="Arial" w:eastAsia="Arial" w:hAnsi="Arial"/>
                <w:sz w:val="18"/>
                <w:szCs w:val="18"/>
                <w:b w:val="1"/>
                <w:bCs w:val="1"/>
                <w:color w:val="auto"/>
              </w:rPr>
              <w:t>Valor IV Pharma Holdings, LLC</w:t>
            </w:r>
          </w:p>
        </w:tc>
      </w:tr>
      <w:tr>
        <w:trPr>
          <w:trHeight w:val="418"/>
        </w:trPr>
        <w:tc>
          <w:tcPr>
            <w:tcW w:w="3400" w:type="dxa"/>
            <w:vAlign w:val="bottom"/>
          </w:tcPr>
          <w:p>
            <w:pPr>
              <w:spacing w:after="0"/>
              <w:rPr>
                <w:sz w:val="24"/>
                <w:szCs w:val="24"/>
                <w:color w:val="auto"/>
              </w:rPr>
            </w:pPr>
          </w:p>
        </w:tc>
        <w:tc>
          <w:tcPr>
            <w:tcW w:w="2120" w:type="dxa"/>
            <w:vAlign w:val="bottom"/>
          </w:tcPr>
          <w:p>
            <w:pPr>
              <w:ind w:left="1560"/>
              <w:spacing w:after="0"/>
              <w:rPr>
                <w:sz w:val="20"/>
                <w:szCs w:val="20"/>
                <w:color w:val="auto"/>
              </w:rPr>
            </w:pPr>
            <w:r>
              <w:rPr>
                <w:rFonts w:ascii="Arial" w:cs="Arial" w:eastAsia="Arial" w:hAnsi="Arial"/>
                <w:sz w:val="18"/>
                <w:szCs w:val="18"/>
                <w:color w:val="auto"/>
              </w:rPr>
              <w:t>By:</w:t>
            </w:r>
          </w:p>
        </w:tc>
        <w:tc>
          <w:tcPr>
            <w:tcW w:w="5500" w:type="dxa"/>
            <w:vAlign w:val="bottom"/>
            <w:gridSpan w:val="2"/>
          </w:tcPr>
          <w:p>
            <w:pPr>
              <w:spacing w:after="0"/>
              <w:rPr>
                <w:sz w:val="20"/>
                <w:szCs w:val="20"/>
                <w:color w:val="auto"/>
              </w:rPr>
            </w:pPr>
            <w:r>
              <w:rPr>
                <w:rFonts w:ascii="Arial" w:cs="Arial" w:eastAsia="Arial" w:hAnsi="Arial"/>
                <w:sz w:val="18"/>
                <w:szCs w:val="18"/>
                <w:color w:val="auto"/>
              </w:rPr>
              <w:t>Valor Equity Associates IV L.P., as general partner of its members</w:t>
            </w:r>
          </w:p>
        </w:tc>
      </w:tr>
      <w:tr>
        <w:trPr>
          <w:trHeight w:val="216"/>
        </w:trPr>
        <w:tc>
          <w:tcPr>
            <w:tcW w:w="3400" w:type="dxa"/>
            <w:vAlign w:val="bottom"/>
          </w:tcPr>
          <w:p>
            <w:pPr>
              <w:spacing w:after="0"/>
              <w:rPr>
                <w:sz w:val="18"/>
                <w:szCs w:val="18"/>
                <w:color w:val="auto"/>
              </w:rPr>
            </w:pPr>
          </w:p>
        </w:tc>
        <w:tc>
          <w:tcPr>
            <w:tcW w:w="2120" w:type="dxa"/>
            <w:vAlign w:val="bottom"/>
          </w:tcPr>
          <w:p>
            <w:pPr>
              <w:ind w:left="1560"/>
              <w:spacing w:after="0"/>
              <w:rPr>
                <w:sz w:val="20"/>
                <w:szCs w:val="20"/>
                <w:color w:val="auto"/>
              </w:rPr>
            </w:pPr>
            <w:r>
              <w:rPr>
                <w:rFonts w:ascii="Arial" w:cs="Arial" w:eastAsia="Arial" w:hAnsi="Arial"/>
                <w:sz w:val="18"/>
                <w:szCs w:val="18"/>
                <w:color w:val="auto"/>
              </w:rPr>
              <w:t>By:</w:t>
            </w:r>
          </w:p>
        </w:tc>
        <w:tc>
          <w:tcPr>
            <w:tcW w:w="5500" w:type="dxa"/>
            <w:vAlign w:val="bottom"/>
            <w:gridSpan w:val="2"/>
          </w:tcPr>
          <w:p>
            <w:pPr>
              <w:spacing w:after="0"/>
              <w:rPr>
                <w:sz w:val="20"/>
                <w:szCs w:val="20"/>
                <w:color w:val="auto"/>
              </w:rPr>
            </w:pPr>
            <w:r>
              <w:rPr>
                <w:rFonts w:ascii="Arial" w:cs="Arial" w:eastAsia="Arial" w:hAnsi="Arial"/>
                <w:sz w:val="18"/>
                <w:szCs w:val="18"/>
                <w:color w:val="auto"/>
              </w:rPr>
              <w:t>Valor Equity Capital IV LLC, its general partner</w:t>
            </w:r>
          </w:p>
        </w:tc>
      </w:tr>
      <w:tr>
        <w:trPr>
          <w:trHeight w:val="230"/>
        </w:trPr>
        <w:tc>
          <w:tcPr>
            <w:tcW w:w="3400" w:type="dxa"/>
            <w:vAlign w:val="bottom"/>
          </w:tcPr>
          <w:p>
            <w:pPr>
              <w:spacing w:after="0"/>
              <w:rPr>
                <w:sz w:val="20"/>
                <w:szCs w:val="20"/>
                <w:color w:val="auto"/>
              </w:rPr>
            </w:pPr>
          </w:p>
        </w:tc>
        <w:tc>
          <w:tcPr>
            <w:tcW w:w="2120" w:type="dxa"/>
            <w:vAlign w:val="bottom"/>
          </w:tcPr>
          <w:p>
            <w:pPr>
              <w:ind w:left="1560"/>
              <w:spacing w:after="0"/>
              <w:rPr>
                <w:sz w:val="20"/>
                <w:szCs w:val="20"/>
                <w:color w:val="auto"/>
              </w:rPr>
            </w:pPr>
            <w:r>
              <w:rPr>
                <w:rFonts w:ascii="Arial" w:cs="Arial" w:eastAsia="Arial" w:hAnsi="Arial"/>
                <w:sz w:val="18"/>
                <w:szCs w:val="18"/>
                <w:color w:val="auto"/>
              </w:rPr>
              <w:t>By:</w:t>
            </w:r>
          </w:p>
        </w:tc>
        <w:tc>
          <w:tcPr>
            <w:tcW w:w="5500" w:type="dxa"/>
            <w:vAlign w:val="bottom"/>
            <w:gridSpan w:val="2"/>
          </w:tcPr>
          <w:p>
            <w:pPr>
              <w:spacing w:after="0"/>
              <w:rPr>
                <w:sz w:val="20"/>
                <w:szCs w:val="20"/>
                <w:color w:val="auto"/>
              </w:rPr>
            </w:pPr>
            <w:r>
              <w:rPr>
                <w:rFonts w:ascii="Arial" w:cs="Arial" w:eastAsia="Arial" w:hAnsi="Arial"/>
                <w:sz w:val="18"/>
                <w:szCs w:val="18"/>
                <w:color w:val="auto"/>
              </w:rPr>
              <w:t>Valor Management L.P., its managing member</w:t>
            </w:r>
          </w:p>
        </w:tc>
      </w:tr>
      <w:tr>
        <w:trPr>
          <w:trHeight w:val="432"/>
        </w:trPr>
        <w:tc>
          <w:tcPr>
            <w:tcW w:w="3400" w:type="dxa"/>
            <w:vAlign w:val="bottom"/>
          </w:tcPr>
          <w:p>
            <w:pPr>
              <w:spacing w:after="0"/>
              <w:rPr>
                <w:sz w:val="24"/>
                <w:szCs w:val="24"/>
                <w:color w:val="auto"/>
              </w:rPr>
            </w:pPr>
          </w:p>
        </w:tc>
        <w:tc>
          <w:tcPr>
            <w:tcW w:w="2120" w:type="dxa"/>
            <w:vAlign w:val="bottom"/>
          </w:tcPr>
          <w:p>
            <w:pPr>
              <w:ind w:left="1560"/>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Antonio J. Gracias</w:t>
            </w:r>
          </w:p>
        </w:tc>
      </w:tr>
      <w:tr>
        <w:trPr>
          <w:trHeight w:val="209"/>
        </w:trPr>
        <w:tc>
          <w:tcPr>
            <w:tcW w:w="34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Pr>
          <w:p>
            <w:pPr>
              <w:ind w:left="80"/>
              <w:spacing w:after="0"/>
              <w:rPr>
                <w:sz w:val="20"/>
                <w:szCs w:val="20"/>
                <w:color w:val="auto"/>
              </w:rPr>
            </w:pPr>
            <w:r>
              <w:rPr>
                <w:rFonts w:ascii="Arial" w:cs="Arial" w:eastAsia="Arial" w:hAnsi="Arial"/>
                <w:sz w:val="18"/>
                <w:szCs w:val="18"/>
                <w:color w:val="auto"/>
              </w:rPr>
              <w:t>Antonio J. Gracias</w:t>
            </w:r>
          </w:p>
        </w:tc>
      </w:tr>
      <w:tr>
        <w:trPr>
          <w:trHeight w:val="230"/>
        </w:trPr>
        <w:tc>
          <w:tcPr>
            <w:tcW w:w="34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CEO</w:t>
            </w:r>
          </w:p>
        </w:tc>
      </w:tr>
      <w:tr>
        <w:trPr>
          <w:trHeight w:val="432"/>
        </w:trPr>
        <w:tc>
          <w:tcPr>
            <w:tcW w:w="3400" w:type="dxa"/>
            <w:vAlign w:val="bottom"/>
          </w:tcPr>
          <w:p>
            <w:pPr>
              <w:spacing w:after="0"/>
              <w:rPr>
                <w:sz w:val="24"/>
                <w:szCs w:val="24"/>
                <w:color w:val="auto"/>
              </w:rPr>
            </w:pPr>
          </w:p>
        </w:tc>
        <w:tc>
          <w:tcPr>
            <w:tcW w:w="7620" w:type="dxa"/>
            <w:vAlign w:val="bottom"/>
            <w:gridSpan w:val="3"/>
          </w:tcPr>
          <w:p>
            <w:pPr>
              <w:ind w:left="1560"/>
              <w:spacing w:after="0"/>
              <w:rPr>
                <w:sz w:val="20"/>
                <w:szCs w:val="20"/>
                <w:color w:val="auto"/>
              </w:rPr>
            </w:pPr>
            <w:r>
              <w:rPr>
                <w:rFonts w:ascii="Arial" w:cs="Arial" w:eastAsia="Arial" w:hAnsi="Arial"/>
                <w:sz w:val="18"/>
                <w:szCs w:val="18"/>
                <w:b w:val="1"/>
                <w:bCs w:val="1"/>
                <w:color w:val="auto"/>
              </w:rPr>
              <w:t>Valor Equity Partners IV L.P.</w:t>
            </w:r>
          </w:p>
        </w:tc>
      </w:tr>
      <w:tr>
        <w:trPr>
          <w:trHeight w:val="418"/>
        </w:trPr>
        <w:tc>
          <w:tcPr>
            <w:tcW w:w="3400" w:type="dxa"/>
            <w:vAlign w:val="bottom"/>
          </w:tcPr>
          <w:p>
            <w:pPr>
              <w:spacing w:after="0"/>
              <w:rPr>
                <w:sz w:val="24"/>
                <w:szCs w:val="24"/>
                <w:color w:val="auto"/>
              </w:rPr>
            </w:pPr>
          </w:p>
        </w:tc>
        <w:tc>
          <w:tcPr>
            <w:tcW w:w="2120" w:type="dxa"/>
            <w:vAlign w:val="bottom"/>
          </w:tcPr>
          <w:p>
            <w:pPr>
              <w:ind w:left="1560"/>
              <w:spacing w:after="0"/>
              <w:rPr>
                <w:sz w:val="20"/>
                <w:szCs w:val="20"/>
                <w:color w:val="auto"/>
              </w:rPr>
            </w:pPr>
            <w:r>
              <w:rPr>
                <w:rFonts w:ascii="Arial" w:cs="Arial" w:eastAsia="Arial" w:hAnsi="Arial"/>
                <w:sz w:val="18"/>
                <w:szCs w:val="18"/>
                <w:color w:val="auto"/>
              </w:rPr>
              <w:t>By:</w:t>
            </w:r>
          </w:p>
        </w:tc>
        <w:tc>
          <w:tcPr>
            <w:tcW w:w="5500" w:type="dxa"/>
            <w:vAlign w:val="bottom"/>
            <w:gridSpan w:val="2"/>
          </w:tcPr>
          <w:p>
            <w:pPr>
              <w:spacing w:after="0"/>
              <w:rPr>
                <w:sz w:val="20"/>
                <w:szCs w:val="20"/>
                <w:color w:val="auto"/>
              </w:rPr>
            </w:pPr>
            <w:r>
              <w:rPr>
                <w:rFonts w:ascii="Arial" w:cs="Arial" w:eastAsia="Arial" w:hAnsi="Arial"/>
                <w:sz w:val="18"/>
                <w:szCs w:val="18"/>
                <w:color w:val="auto"/>
              </w:rPr>
              <w:t>Valor Equity Associates IV L.P., its general partner</w:t>
            </w:r>
          </w:p>
        </w:tc>
      </w:tr>
      <w:tr>
        <w:trPr>
          <w:trHeight w:val="216"/>
        </w:trPr>
        <w:tc>
          <w:tcPr>
            <w:tcW w:w="3400" w:type="dxa"/>
            <w:vAlign w:val="bottom"/>
          </w:tcPr>
          <w:p>
            <w:pPr>
              <w:spacing w:after="0"/>
              <w:rPr>
                <w:sz w:val="18"/>
                <w:szCs w:val="18"/>
                <w:color w:val="auto"/>
              </w:rPr>
            </w:pPr>
          </w:p>
        </w:tc>
        <w:tc>
          <w:tcPr>
            <w:tcW w:w="2120" w:type="dxa"/>
            <w:vAlign w:val="bottom"/>
          </w:tcPr>
          <w:p>
            <w:pPr>
              <w:ind w:left="1560"/>
              <w:spacing w:after="0"/>
              <w:rPr>
                <w:sz w:val="20"/>
                <w:szCs w:val="20"/>
                <w:color w:val="auto"/>
              </w:rPr>
            </w:pPr>
            <w:r>
              <w:rPr>
                <w:rFonts w:ascii="Arial" w:cs="Arial" w:eastAsia="Arial" w:hAnsi="Arial"/>
                <w:sz w:val="18"/>
                <w:szCs w:val="18"/>
                <w:color w:val="auto"/>
              </w:rPr>
              <w:t>By:</w:t>
            </w:r>
          </w:p>
        </w:tc>
        <w:tc>
          <w:tcPr>
            <w:tcW w:w="5500" w:type="dxa"/>
            <w:vAlign w:val="bottom"/>
            <w:gridSpan w:val="2"/>
          </w:tcPr>
          <w:p>
            <w:pPr>
              <w:spacing w:after="0"/>
              <w:rPr>
                <w:sz w:val="20"/>
                <w:szCs w:val="20"/>
                <w:color w:val="auto"/>
              </w:rPr>
            </w:pPr>
            <w:r>
              <w:rPr>
                <w:rFonts w:ascii="Arial" w:cs="Arial" w:eastAsia="Arial" w:hAnsi="Arial"/>
                <w:sz w:val="18"/>
                <w:szCs w:val="18"/>
                <w:color w:val="auto"/>
              </w:rPr>
              <w:t>Valor Equity Capital IV LLC, its general partner</w:t>
            </w:r>
          </w:p>
        </w:tc>
      </w:tr>
      <w:tr>
        <w:trPr>
          <w:trHeight w:val="230"/>
        </w:trPr>
        <w:tc>
          <w:tcPr>
            <w:tcW w:w="3400" w:type="dxa"/>
            <w:vAlign w:val="bottom"/>
          </w:tcPr>
          <w:p>
            <w:pPr>
              <w:spacing w:after="0"/>
              <w:rPr>
                <w:sz w:val="20"/>
                <w:szCs w:val="20"/>
                <w:color w:val="auto"/>
              </w:rPr>
            </w:pPr>
          </w:p>
        </w:tc>
        <w:tc>
          <w:tcPr>
            <w:tcW w:w="2120" w:type="dxa"/>
            <w:vAlign w:val="bottom"/>
          </w:tcPr>
          <w:p>
            <w:pPr>
              <w:ind w:left="1560"/>
              <w:spacing w:after="0"/>
              <w:rPr>
                <w:sz w:val="20"/>
                <w:szCs w:val="20"/>
                <w:color w:val="auto"/>
              </w:rPr>
            </w:pPr>
            <w:r>
              <w:rPr>
                <w:rFonts w:ascii="Arial" w:cs="Arial" w:eastAsia="Arial" w:hAnsi="Arial"/>
                <w:sz w:val="18"/>
                <w:szCs w:val="18"/>
                <w:color w:val="auto"/>
              </w:rPr>
              <w:t>By:</w:t>
            </w:r>
          </w:p>
        </w:tc>
        <w:tc>
          <w:tcPr>
            <w:tcW w:w="5500" w:type="dxa"/>
            <w:vAlign w:val="bottom"/>
            <w:gridSpan w:val="2"/>
          </w:tcPr>
          <w:p>
            <w:pPr>
              <w:spacing w:after="0"/>
              <w:rPr>
                <w:sz w:val="20"/>
                <w:szCs w:val="20"/>
                <w:color w:val="auto"/>
              </w:rPr>
            </w:pPr>
            <w:r>
              <w:rPr>
                <w:rFonts w:ascii="Arial" w:cs="Arial" w:eastAsia="Arial" w:hAnsi="Arial"/>
                <w:sz w:val="18"/>
                <w:szCs w:val="18"/>
                <w:color w:val="auto"/>
              </w:rPr>
              <w:t>Valor Management L.P., its managing member</w:t>
            </w:r>
          </w:p>
        </w:tc>
      </w:tr>
      <w:tr>
        <w:trPr>
          <w:trHeight w:val="432"/>
        </w:trPr>
        <w:tc>
          <w:tcPr>
            <w:tcW w:w="3400" w:type="dxa"/>
            <w:vAlign w:val="bottom"/>
          </w:tcPr>
          <w:p>
            <w:pPr>
              <w:spacing w:after="0"/>
              <w:rPr>
                <w:sz w:val="24"/>
                <w:szCs w:val="24"/>
                <w:color w:val="auto"/>
              </w:rPr>
            </w:pPr>
          </w:p>
        </w:tc>
        <w:tc>
          <w:tcPr>
            <w:tcW w:w="2120" w:type="dxa"/>
            <w:vAlign w:val="bottom"/>
          </w:tcPr>
          <w:p>
            <w:pPr>
              <w:ind w:left="1560"/>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Antonio J. Gracias</w:t>
            </w:r>
          </w:p>
        </w:tc>
      </w:tr>
      <w:tr>
        <w:trPr>
          <w:trHeight w:val="209"/>
        </w:trPr>
        <w:tc>
          <w:tcPr>
            <w:tcW w:w="34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Pr>
          <w:p>
            <w:pPr>
              <w:ind w:left="80"/>
              <w:spacing w:after="0"/>
              <w:rPr>
                <w:sz w:val="20"/>
                <w:szCs w:val="20"/>
                <w:color w:val="auto"/>
              </w:rPr>
            </w:pPr>
            <w:r>
              <w:rPr>
                <w:rFonts w:ascii="Arial" w:cs="Arial" w:eastAsia="Arial" w:hAnsi="Arial"/>
                <w:sz w:val="18"/>
                <w:szCs w:val="18"/>
                <w:color w:val="auto"/>
              </w:rPr>
              <w:t>Antonio J. Gracias</w:t>
            </w:r>
          </w:p>
        </w:tc>
      </w:tr>
      <w:tr>
        <w:trPr>
          <w:trHeight w:val="230"/>
        </w:trPr>
        <w:tc>
          <w:tcPr>
            <w:tcW w:w="34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CEO</w:t>
            </w:r>
          </w:p>
        </w:tc>
      </w:tr>
      <w:tr>
        <w:trPr>
          <w:trHeight w:val="432"/>
        </w:trPr>
        <w:tc>
          <w:tcPr>
            <w:tcW w:w="3400" w:type="dxa"/>
            <w:vAlign w:val="bottom"/>
          </w:tcPr>
          <w:p>
            <w:pPr>
              <w:spacing w:after="0"/>
              <w:rPr>
                <w:sz w:val="24"/>
                <w:szCs w:val="24"/>
                <w:color w:val="auto"/>
              </w:rPr>
            </w:pPr>
          </w:p>
        </w:tc>
        <w:tc>
          <w:tcPr>
            <w:tcW w:w="7620" w:type="dxa"/>
            <w:vAlign w:val="bottom"/>
            <w:gridSpan w:val="3"/>
          </w:tcPr>
          <w:p>
            <w:pPr>
              <w:ind w:left="1560"/>
              <w:spacing w:after="0"/>
              <w:rPr>
                <w:sz w:val="20"/>
                <w:szCs w:val="20"/>
                <w:color w:val="auto"/>
              </w:rPr>
            </w:pPr>
            <w:r>
              <w:rPr>
                <w:rFonts w:ascii="Arial" w:cs="Arial" w:eastAsia="Arial" w:hAnsi="Arial"/>
                <w:sz w:val="18"/>
                <w:szCs w:val="18"/>
                <w:b w:val="1"/>
                <w:bCs w:val="1"/>
                <w:color w:val="auto"/>
              </w:rPr>
              <w:t>Valor Equity Partners IV-A L.P.</w:t>
            </w:r>
          </w:p>
        </w:tc>
      </w:tr>
      <w:tr>
        <w:trPr>
          <w:trHeight w:val="418"/>
        </w:trPr>
        <w:tc>
          <w:tcPr>
            <w:tcW w:w="3400" w:type="dxa"/>
            <w:vAlign w:val="bottom"/>
          </w:tcPr>
          <w:p>
            <w:pPr>
              <w:spacing w:after="0"/>
              <w:rPr>
                <w:sz w:val="24"/>
                <w:szCs w:val="24"/>
                <w:color w:val="auto"/>
              </w:rPr>
            </w:pPr>
          </w:p>
        </w:tc>
        <w:tc>
          <w:tcPr>
            <w:tcW w:w="2120" w:type="dxa"/>
            <w:vAlign w:val="bottom"/>
          </w:tcPr>
          <w:p>
            <w:pPr>
              <w:ind w:left="1560"/>
              <w:spacing w:after="0"/>
              <w:rPr>
                <w:sz w:val="20"/>
                <w:szCs w:val="20"/>
                <w:color w:val="auto"/>
              </w:rPr>
            </w:pPr>
            <w:r>
              <w:rPr>
                <w:rFonts w:ascii="Arial" w:cs="Arial" w:eastAsia="Arial" w:hAnsi="Arial"/>
                <w:sz w:val="18"/>
                <w:szCs w:val="18"/>
                <w:color w:val="auto"/>
              </w:rPr>
              <w:t>By:</w:t>
            </w:r>
          </w:p>
        </w:tc>
        <w:tc>
          <w:tcPr>
            <w:tcW w:w="5500" w:type="dxa"/>
            <w:vAlign w:val="bottom"/>
            <w:gridSpan w:val="2"/>
          </w:tcPr>
          <w:p>
            <w:pPr>
              <w:spacing w:after="0"/>
              <w:rPr>
                <w:sz w:val="20"/>
                <w:szCs w:val="20"/>
                <w:color w:val="auto"/>
              </w:rPr>
            </w:pPr>
            <w:r>
              <w:rPr>
                <w:rFonts w:ascii="Arial" w:cs="Arial" w:eastAsia="Arial" w:hAnsi="Arial"/>
                <w:sz w:val="18"/>
                <w:szCs w:val="18"/>
                <w:color w:val="auto"/>
              </w:rPr>
              <w:t>Valor Equity Associates IV L.P., its general partner</w:t>
            </w:r>
          </w:p>
        </w:tc>
      </w:tr>
      <w:tr>
        <w:trPr>
          <w:trHeight w:val="216"/>
        </w:trPr>
        <w:tc>
          <w:tcPr>
            <w:tcW w:w="3400" w:type="dxa"/>
            <w:vAlign w:val="bottom"/>
          </w:tcPr>
          <w:p>
            <w:pPr>
              <w:spacing w:after="0"/>
              <w:rPr>
                <w:sz w:val="18"/>
                <w:szCs w:val="18"/>
                <w:color w:val="auto"/>
              </w:rPr>
            </w:pPr>
          </w:p>
        </w:tc>
        <w:tc>
          <w:tcPr>
            <w:tcW w:w="2120" w:type="dxa"/>
            <w:vAlign w:val="bottom"/>
          </w:tcPr>
          <w:p>
            <w:pPr>
              <w:ind w:left="1560"/>
              <w:spacing w:after="0"/>
              <w:rPr>
                <w:sz w:val="20"/>
                <w:szCs w:val="20"/>
                <w:color w:val="auto"/>
              </w:rPr>
            </w:pPr>
            <w:r>
              <w:rPr>
                <w:rFonts w:ascii="Arial" w:cs="Arial" w:eastAsia="Arial" w:hAnsi="Arial"/>
                <w:sz w:val="18"/>
                <w:szCs w:val="18"/>
                <w:color w:val="auto"/>
              </w:rPr>
              <w:t>By:</w:t>
            </w:r>
          </w:p>
        </w:tc>
        <w:tc>
          <w:tcPr>
            <w:tcW w:w="5500" w:type="dxa"/>
            <w:vAlign w:val="bottom"/>
            <w:gridSpan w:val="2"/>
          </w:tcPr>
          <w:p>
            <w:pPr>
              <w:spacing w:after="0"/>
              <w:rPr>
                <w:sz w:val="20"/>
                <w:szCs w:val="20"/>
                <w:color w:val="auto"/>
              </w:rPr>
            </w:pPr>
            <w:r>
              <w:rPr>
                <w:rFonts w:ascii="Arial" w:cs="Arial" w:eastAsia="Arial" w:hAnsi="Arial"/>
                <w:sz w:val="18"/>
                <w:szCs w:val="18"/>
                <w:color w:val="auto"/>
              </w:rPr>
              <w:t>Valor Equity Capital IV LLC, its general partner</w:t>
            </w:r>
          </w:p>
        </w:tc>
      </w:tr>
      <w:tr>
        <w:trPr>
          <w:trHeight w:val="230"/>
        </w:trPr>
        <w:tc>
          <w:tcPr>
            <w:tcW w:w="3400" w:type="dxa"/>
            <w:vAlign w:val="bottom"/>
          </w:tcPr>
          <w:p>
            <w:pPr>
              <w:spacing w:after="0"/>
              <w:rPr>
                <w:sz w:val="20"/>
                <w:szCs w:val="20"/>
                <w:color w:val="auto"/>
              </w:rPr>
            </w:pPr>
          </w:p>
        </w:tc>
        <w:tc>
          <w:tcPr>
            <w:tcW w:w="2120" w:type="dxa"/>
            <w:vAlign w:val="bottom"/>
          </w:tcPr>
          <w:p>
            <w:pPr>
              <w:ind w:left="1560"/>
              <w:spacing w:after="0"/>
              <w:rPr>
                <w:sz w:val="20"/>
                <w:szCs w:val="20"/>
                <w:color w:val="auto"/>
              </w:rPr>
            </w:pPr>
            <w:r>
              <w:rPr>
                <w:rFonts w:ascii="Arial" w:cs="Arial" w:eastAsia="Arial" w:hAnsi="Arial"/>
                <w:sz w:val="18"/>
                <w:szCs w:val="18"/>
                <w:color w:val="auto"/>
              </w:rPr>
              <w:t>By:</w:t>
            </w:r>
          </w:p>
        </w:tc>
        <w:tc>
          <w:tcPr>
            <w:tcW w:w="5500" w:type="dxa"/>
            <w:vAlign w:val="bottom"/>
            <w:gridSpan w:val="2"/>
          </w:tcPr>
          <w:p>
            <w:pPr>
              <w:spacing w:after="0"/>
              <w:rPr>
                <w:sz w:val="20"/>
                <w:szCs w:val="20"/>
                <w:color w:val="auto"/>
              </w:rPr>
            </w:pPr>
            <w:r>
              <w:rPr>
                <w:rFonts w:ascii="Arial" w:cs="Arial" w:eastAsia="Arial" w:hAnsi="Arial"/>
                <w:sz w:val="18"/>
                <w:szCs w:val="18"/>
                <w:color w:val="auto"/>
              </w:rPr>
              <w:t>Valor Management L.P., its managing member</w:t>
            </w:r>
          </w:p>
        </w:tc>
      </w:tr>
      <w:tr>
        <w:trPr>
          <w:trHeight w:val="432"/>
        </w:trPr>
        <w:tc>
          <w:tcPr>
            <w:tcW w:w="3400" w:type="dxa"/>
            <w:vAlign w:val="bottom"/>
          </w:tcPr>
          <w:p>
            <w:pPr>
              <w:spacing w:after="0"/>
              <w:rPr>
                <w:sz w:val="24"/>
                <w:szCs w:val="24"/>
                <w:color w:val="auto"/>
              </w:rPr>
            </w:pPr>
          </w:p>
        </w:tc>
        <w:tc>
          <w:tcPr>
            <w:tcW w:w="2120" w:type="dxa"/>
            <w:vAlign w:val="bottom"/>
          </w:tcPr>
          <w:p>
            <w:pPr>
              <w:ind w:left="1560"/>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Antonio J. Gracias</w:t>
            </w:r>
          </w:p>
        </w:tc>
      </w:tr>
      <w:tr>
        <w:trPr>
          <w:trHeight w:val="209"/>
        </w:trPr>
        <w:tc>
          <w:tcPr>
            <w:tcW w:w="34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Pr>
          <w:p>
            <w:pPr>
              <w:ind w:left="80"/>
              <w:spacing w:after="0"/>
              <w:rPr>
                <w:sz w:val="20"/>
                <w:szCs w:val="20"/>
                <w:color w:val="auto"/>
              </w:rPr>
            </w:pPr>
            <w:r>
              <w:rPr>
                <w:rFonts w:ascii="Arial" w:cs="Arial" w:eastAsia="Arial" w:hAnsi="Arial"/>
                <w:sz w:val="18"/>
                <w:szCs w:val="18"/>
                <w:color w:val="auto"/>
              </w:rPr>
              <w:t>Antonio J. Gracias</w:t>
            </w:r>
          </w:p>
        </w:tc>
      </w:tr>
      <w:tr>
        <w:trPr>
          <w:trHeight w:val="230"/>
        </w:trPr>
        <w:tc>
          <w:tcPr>
            <w:tcW w:w="34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CEO</w:t>
            </w:r>
          </w:p>
        </w:tc>
      </w:tr>
      <w:tr>
        <w:trPr>
          <w:trHeight w:val="432"/>
        </w:trPr>
        <w:tc>
          <w:tcPr>
            <w:tcW w:w="3400" w:type="dxa"/>
            <w:vAlign w:val="bottom"/>
          </w:tcPr>
          <w:p>
            <w:pPr>
              <w:spacing w:after="0"/>
              <w:rPr>
                <w:sz w:val="24"/>
                <w:szCs w:val="24"/>
                <w:color w:val="auto"/>
              </w:rPr>
            </w:pPr>
          </w:p>
        </w:tc>
        <w:tc>
          <w:tcPr>
            <w:tcW w:w="7620" w:type="dxa"/>
            <w:vAlign w:val="bottom"/>
            <w:gridSpan w:val="3"/>
          </w:tcPr>
          <w:p>
            <w:pPr>
              <w:ind w:left="1560"/>
              <w:spacing w:after="0"/>
              <w:rPr>
                <w:sz w:val="20"/>
                <w:szCs w:val="20"/>
                <w:color w:val="auto"/>
              </w:rPr>
            </w:pPr>
            <w:r>
              <w:rPr>
                <w:rFonts w:ascii="Arial" w:cs="Arial" w:eastAsia="Arial" w:hAnsi="Arial"/>
                <w:sz w:val="18"/>
                <w:szCs w:val="18"/>
                <w:b w:val="1"/>
                <w:bCs w:val="1"/>
                <w:color w:val="auto"/>
              </w:rPr>
              <w:t>Valor Equity Partners IV-B L.P.</w:t>
            </w:r>
          </w:p>
        </w:tc>
      </w:tr>
      <w:tr>
        <w:trPr>
          <w:trHeight w:val="418"/>
        </w:trPr>
        <w:tc>
          <w:tcPr>
            <w:tcW w:w="3400" w:type="dxa"/>
            <w:vAlign w:val="bottom"/>
          </w:tcPr>
          <w:p>
            <w:pPr>
              <w:spacing w:after="0"/>
              <w:rPr>
                <w:sz w:val="24"/>
                <w:szCs w:val="24"/>
                <w:color w:val="auto"/>
              </w:rPr>
            </w:pPr>
          </w:p>
        </w:tc>
        <w:tc>
          <w:tcPr>
            <w:tcW w:w="2120" w:type="dxa"/>
            <w:vAlign w:val="bottom"/>
          </w:tcPr>
          <w:p>
            <w:pPr>
              <w:ind w:left="1560"/>
              <w:spacing w:after="0"/>
              <w:rPr>
                <w:sz w:val="20"/>
                <w:szCs w:val="20"/>
                <w:color w:val="auto"/>
              </w:rPr>
            </w:pPr>
            <w:r>
              <w:rPr>
                <w:rFonts w:ascii="Arial" w:cs="Arial" w:eastAsia="Arial" w:hAnsi="Arial"/>
                <w:sz w:val="18"/>
                <w:szCs w:val="18"/>
                <w:color w:val="auto"/>
              </w:rPr>
              <w:t>By:</w:t>
            </w:r>
          </w:p>
        </w:tc>
        <w:tc>
          <w:tcPr>
            <w:tcW w:w="5500" w:type="dxa"/>
            <w:vAlign w:val="bottom"/>
            <w:gridSpan w:val="2"/>
          </w:tcPr>
          <w:p>
            <w:pPr>
              <w:spacing w:after="0"/>
              <w:rPr>
                <w:sz w:val="20"/>
                <w:szCs w:val="20"/>
                <w:color w:val="auto"/>
              </w:rPr>
            </w:pPr>
            <w:r>
              <w:rPr>
                <w:rFonts w:ascii="Arial" w:cs="Arial" w:eastAsia="Arial" w:hAnsi="Arial"/>
                <w:sz w:val="18"/>
                <w:szCs w:val="18"/>
                <w:color w:val="auto"/>
              </w:rPr>
              <w:t>Valor Equity Associates IV L.P., its general partner</w:t>
            </w:r>
          </w:p>
        </w:tc>
      </w:tr>
      <w:tr>
        <w:trPr>
          <w:trHeight w:val="216"/>
        </w:trPr>
        <w:tc>
          <w:tcPr>
            <w:tcW w:w="3400" w:type="dxa"/>
            <w:vAlign w:val="bottom"/>
          </w:tcPr>
          <w:p>
            <w:pPr>
              <w:spacing w:after="0"/>
              <w:rPr>
                <w:sz w:val="18"/>
                <w:szCs w:val="18"/>
                <w:color w:val="auto"/>
              </w:rPr>
            </w:pPr>
          </w:p>
        </w:tc>
        <w:tc>
          <w:tcPr>
            <w:tcW w:w="2120" w:type="dxa"/>
            <w:vAlign w:val="bottom"/>
          </w:tcPr>
          <w:p>
            <w:pPr>
              <w:ind w:left="1560"/>
              <w:spacing w:after="0"/>
              <w:rPr>
                <w:sz w:val="20"/>
                <w:szCs w:val="20"/>
                <w:color w:val="auto"/>
              </w:rPr>
            </w:pPr>
            <w:r>
              <w:rPr>
                <w:rFonts w:ascii="Arial" w:cs="Arial" w:eastAsia="Arial" w:hAnsi="Arial"/>
                <w:sz w:val="18"/>
                <w:szCs w:val="18"/>
                <w:color w:val="auto"/>
              </w:rPr>
              <w:t>By:</w:t>
            </w:r>
          </w:p>
        </w:tc>
        <w:tc>
          <w:tcPr>
            <w:tcW w:w="5500" w:type="dxa"/>
            <w:vAlign w:val="bottom"/>
            <w:gridSpan w:val="2"/>
          </w:tcPr>
          <w:p>
            <w:pPr>
              <w:spacing w:after="0"/>
              <w:rPr>
                <w:sz w:val="20"/>
                <w:szCs w:val="20"/>
                <w:color w:val="auto"/>
              </w:rPr>
            </w:pPr>
            <w:r>
              <w:rPr>
                <w:rFonts w:ascii="Arial" w:cs="Arial" w:eastAsia="Arial" w:hAnsi="Arial"/>
                <w:sz w:val="18"/>
                <w:szCs w:val="18"/>
                <w:color w:val="auto"/>
              </w:rPr>
              <w:t>Valor Equity Capital IV LLC, its general partner</w:t>
            </w:r>
          </w:p>
        </w:tc>
      </w:tr>
      <w:tr>
        <w:trPr>
          <w:trHeight w:val="230"/>
        </w:trPr>
        <w:tc>
          <w:tcPr>
            <w:tcW w:w="3400" w:type="dxa"/>
            <w:vAlign w:val="bottom"/>
          </w:tcPr>
          <w:p>
            <w:pPr>
              <w:spacing w:after="0"/>
              <w:rPr>
                <w:sz w:val="20"/>
                <w:szCs w:val="20"/>
                <w:color w:val="auto"/>
              </w:rPr>
            </w:pPr>
          </w:p>
        </w:tc>
        <w:tc>
          <w:tcPr>
            <w:tcW w:w="2120" w:type="dxa"/>
            <w:vAlign w:val="bottom"/>
          </w:tcPr>
          <w:p>
            <w:pPr>
              <w:ind w:left="1560"/>
              <w:spacing w:after="0"/>
              <w:rPr>
                <w:sz w:val="20"/>
                <w:szCs w:val="20"/>
                <w:color w:val="auto"/>
              </w:rPr>
            </w:pPr>
            <w:r>
              <w:rPr>
                <w:rFonts w:ascii="Arial" w:cs="Arial" w:eastAsia="Arial" w:hAnsi="Arial"/>
                <w:sz w:val="18"/>
                <w:szCs w:val="18"/>
                <w:color w:val="auto"/>
              </w:rPr>
              <w:t>By:</w:t>
            </w:r>
          </w:p>
        </w:tc>
        <w:tc>
          <w:tcPr>
            <w:tcW w:w="5500" w:type="dxa"/>
            <w:vAlign w:val="bottom"/>
            <w:gridSpan w:val="2"/>
          </w:tcPr>
          <w:p>
            <w:pPr>
              <w:spacing w:after="0"/>
              <w:rPr>
                <w:sz w:val="20"/>
                <w:szCs w:val="20"/>
                <w:color w:val="auto"/>
              </w:rPr>
            </w:pPr>
            <w:r>
              <w:rPr>
                <w:rFonts w:ascii="Arial" w:cs="Arial" w:eastAsia="Arial" w:hAnsi="Arial"/>
                <w:sz w:val="18"/>
                <w:szCs w:val="18"/>
                <w:color w:val="auto"/>
              </w:rPr>
              <w:t>Valor Management L.P., its managing member</w:t>
            </w:r>
          </w:p>
        </w:tc>
      </w:tr>
      <w:tr>
        <w:trPr>
          <w:trHeight w:val="432"/>
        </w:trPr>
        <w:tc>
          <w:tcPr>
            <w:tcW w:w="3400" w:type="dxa"/>
            <w:vAlign w:val="bottom"/>
          </w:tcPr>
          <w:p>
            <w:pPr>
              <w:spacing w:after="0"/>
              <w:rPr>
                <w:sz w:val="24"/>
                <w:szCs w:val="24"/>
                <w:color w:val="auto"/>
              </w:rPr>
            </w:pPr>
          </w:p>
        </w:tc>
        <w:tc>
          <w:tcPr>
            <w:tcW w:w="2120" w:type="dxa"/>
            <w:vAlign w:val="bottom"/>
          </w:tcPr>
          <w:p>
            <w:pPr>
              <w:ind w:left="1560"/>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Antonio J. Gracias</w:t>
            </w:r>
          </w:p>
        </w:tc>
      </w:tr>
      <w:tr>
        <w:trPr>
          <w:trHeight w:val="209"/>
        </w:trPr>
        <w:tc>
          <w:tcPr>
            <w:tcW w:w="34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Pr>
          <w:p>
            <w:pPr>
              <w:ind w:left="80"/>
              <w:spacing w:after="0"/>
              <w:rPr>
                <w:sz w:val="20"/>
                <w:szCs w:val="20"/>
                <w:color w:val="auto"/>
              </w:rPr>
            </w:pPr>
            <w:r>
              <w:rPr>
                <w:rFonts w:ascii="Arial" w:cs="Arial" w:eastAsia="Arial" w:hAnsi="Arial"/>
                <w:sz w:val="18"/>
                <w:szCs w:val="18"/>
                <w:color w:val="auto"/>
              </w:rPr>
              <w:t>Antonio J. Gracias</w:t>
            </w:r>
          </w:p>
        </w:tc>
      </w:tr>
      <w:tr>
        <w:trPr>
          <w:trHeight w:val="230"/>
        </w:trPr>
        <w:tc>
          <w:tcPr>
            <w:tcW w:w="34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CEO</w:t>
            </w:r>
          </w:p>
        </w:tc>
      </w:tr>
    </w:tbl>
    <w:p>
      <w:pPr>
        <w:sectPr>
          <w:pgSz w:w="11900" w:h="16838" w:orient="portrait"/>
          <w:cols w:equalWidth="0" w:num="1">
            <w:col w:w="11020"/>
          </w:cols>
          <w:pgMar w:left="440" w:top="121" w:right="439" w:bottom="1440" w:gutter="0" w:footer="0" w:header="0"/>
        </w:sectPr>
      </w:pPr>
    </w:p>
    <w:bookmarkStart w:id="13" w:name="page14"/>
    <w:bookmarkEnd w:id="13"/>
    <w:p>
      <w:pPr>
        <w:jc w:val="center"/>
        <w:ind w:right="-29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Valor Equity Associates IV L.P.</w:t>
      </w:r>
    </w:p>
    <w:p>
      <w:pPr>
        <w:spacing w:after="0" w:line="252" w:lineRule="exact"/>
        <w:rPr>
          <w:sz w:val="20"/>
          <w:szCs w:val="20"/>
          <w:color w:val="auto"/>
        </w:rPr>
      </w:pPr>
    </w:p>
    <w:tbl>
      <w:tblPr>
        <w:tblLayout w:type="fixed"/>
        <w:tblInd w:w="396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500" w:type="dxa"/>
            <w:vAlign w:val="bottom"/>
            <w:gridSpan w:val="2"/>
          </w:tcPr>
          <w:p>
            <w:pPr>
              <w:spacing w:after="0"/>
              <w:rPr>
                <w:sz w:val="20"/>
                <w:szCs w:val="20"/>
                <w:color w:val="auto"/>
              </w:rPr>
            </w:pPr>
            <w:r>
              <w:rPr>
                <w:rFonts w:ascii="Arial" w:cs="Arial" w:eastAsia="Arial" w:hAnsi="Arial"/>
                <w:sz w:val="18"/>
                <w:szCs w:val="18"/>
                <w:color w:val="auto"/>
              </w:rPr>
              <w:t>Valor Equity Capital IV LLC, its general partner</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500" w:type="dxa"/>
            <w:vAlign w:val="bottom"/>
            <w:gridSpan w:val="2"/>
          </w:tcPr>
          <w:p>
            <w:pPr>
              <w:spacing w:after="0"/>
              <w:rPr>
                <w:sz w:val="20"/>
                <w:szCs w:val="20"/>
                <w:color w:val="auto"/>
              </w:rPr>
            </w:pPr>
            <w:r>
              <w:rPr>
                <w:rFonts w:ascii="Arial" w:cs="Arial" w:eastAsia="Arial" w:hAnsi="Arial"/>
                <w:sz w:val="18"/>
                <w:szCs w:val="18"/>
                <w:color w:val="auto"/>
              </w:rPr>
              <w:t>Valor Management L.P., its managing member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Antonio J. Gracias</w:t>
            </w:r>
          </w:p>
        </w:tc>
      </w:tr>
      <w:tr>
        <w:trPr>
          <w:trHeight w:val="209"/>
        </w:trPr>
        <w:tc>
          <w:tcPr>
            <w:tcW w:w="5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Pr>
          <w:p>
            <w:pPr>
              <w:ind w:left="80"/>
              <w:spacing w:after="0"/>
              <w:rPr>
                <w:sz w:val="20"/>
                <w:szCs w:val="20"/>
                <w:color w:val="auto"/>
              </w:rPr>
            </w:pPr>
            <w:r>
              <w:rPr>
                <w:rFonts w:ascii="Arial" w:cs="Arial" w:eastAsia="Arial" w:hAnsi="Arial"/>
                <w:sz w:val="18"/>
                <w:szCs w:val="18"/>
                <w:color w:val="auto"/>
              </w:rPr>
              <w:t>Antonio J. Gracias</w:t>
            </w:r>
          </w:p>
        </w:tc>
      </w:tr>
      <w:tr>
        <w:trPr>
          <w:trHeight w:val="230"/>
        </w:trPr>
        <w:tc>
          <w:tcPr>
            <w:tcW w:w="5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CEO</w:t>
            </w:r>
          </w:p>
        </w:tc>
      </w:tr>
      <w:tr>
        <w:trPr>
          <w:trHeight w:val="432"/>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Valor Equity Capital IV LLC</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500" w:type="dxa"/>
            <w:vAlign w:val="bottom"/>
            <w:gridSpan w:val="2"/>
          </w:tcPr>
          <w:p>
            <w:pPr>
              <w:spacing w:after="0"/>
              <w:rPr>
                <w:sz w:val="20"/>
                <w:szCs w:val="20"/>
                <w:color w:val="auto"/>
              </w:rPr>
            </w:pPr>
            <w:r>
              <w:rPr>
                <w:rFonts w:ascii="Arial" w:cs="Arial" w:eastAsia="Arial" w:hAnsi="Arial"/>
                <w:sz w:val="18"/>
                <w:szCs w:val="18"/>
                <w:color w:val="auto"/>
              </w:rPr>
              <w:t>Valor Management L.P., its managing member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Antonio J. Gracias</w:t>
            </w:r>
          </w:p>
        </w:tc>
      </w:tr>
      <w:tr>
        <w:trPr>
          <w:trHeight w:val="209"/>
        </w:trPr>
        <w:tc>
          <w:tcPr>
            <w:tcW w:w="5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Pr>
          <w:p>
            <w:pPr>
              <w:ind w:left="80"/>
              <w:spacing w:after="0"/>
              <w:rPr>
                <w:sz w:val="20"/>
                <w:szCs w:val="20"/>
                <w:color w:val="auto"/>
              </w:rPr>
            </w:pPr>
            <w:r>
              <w:rPr>
                <w:rFonts w:ascii="Arial" w:cs="Arial" w:eastAsia="Arial" w:hAnsi="Arial"/>
                <w:sz w:val="18"/>
                <w:szCs w:val="18"/>
                <w:color w:val="auto"/>
              </w:rPr>
              <w:t>Antonio J. Gracias</w:t>
            </w:r>
          </w:p>
        </w:tc>
      </w:tr>
      <w:tr>
        <w:trPr>
          <w:trHeight w:val="230"/>
        </w:trPr>
        <w:tc>
          <w:tcPr>
            <w:tcW w:w="5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CEO</w:t>
            </w:r>
          </w:p>
        </w:tc>
      </w:tr>
      <w:tr>
        <w:trPr>
          <w:trHeight w:val="432"/>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Valor Management L.P.</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Antonio J. Gracias</w:t>
            </w:r>
          </w:p>
        </w:tc>
      </w:tr>
      <w:tr>
        <w:trPr>
          <w:trHeight w:val="209"/>
        </w:trPr>
        <w:tc>
          <w:tcPr>
            <w:tcW w:w="5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Pr>
          <w:p>
            <w:pPr>
              <w:ind w:left="80"/>
              <w:spacing w:after="0"/>
              <w:rPr>
                <w:sz w:val="20"/>
                <w:szCs w:val="20"/>
                <w:color w:val="auto"/>
              </w:rPr>
            </w:pPr>
            <w:r>
              <w:rPr>
                <w:rFonts w:ascii="Arial" w:cs="Arial" w:eastAsia="Arial" w:hAnsi="Arial"/>
                <w:sz w:val="18"/>
                <w:szCs w:val="18"/>
                <w:color w:val="auto"/>
              </w:rPr>
              <w:t>Antonio J. Gracias</w:t>
            </w:r>
          </w:p>
        </w:tc>
      </w:tr>
      <w:tr>
        <w:trPr>
          <w:trHeight w:val="230"/>
        </w:trPr>
        <w:tc>
          <w:tcPr>
            <w:tcW w:w="5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CEO</w:t>
            </w:r>
          </w:p>
        </w:tc>
      </w:tr>
    </w:tbl>
    <w:p>
      <w:pPr>
        <w:spacing w:after="0" w:line="202"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 Antonio J. Gracias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14605</wp:posOffset>
            </wp:positionV>
            <wp:extent cx="38487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16"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Name: Antonio J. Gracias</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 Juan A. Sabater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14605</wp:posOffset>
            </wp:positionV>
            <wp:extent cx="38487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16"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Name: Juan A. Sabater</w:t>
      </w:r>
    </w:p>
    <w:sectPr>
      <w:pgSz w:w="11900" w:h="16838" w:orient="portrait"/>
      <w:cols w:equalWidth="0" w:num="1">
        <w:col w:w="10020"/>
      </w:cols>
      <w:pgMar w:left="1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2021-02-16T06:17:12Z</dcterms:created>
  <dcterms:modified xsi:type="dcterms:W3CDTF">2021-02-16T06:17:12Z</dcterms:modified>
</cp:coreProperties>
</file>