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1"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45085</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71755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19" w:lineRule="exact"/>
        <w:rPr>
          <w:sz w:val="24"/>
          <w:szCs w:val="24"/>
          <w:color w:val="auto"/>
        </w:rPr>
      </w:pPr>
    </w:p>
    <w:p>
      <w:pPr>
        <w:ind w:left="60"/>
        <w:spacing w:after="0"/>
        <w:rPr>
          <w:sz w:val="20"/>
          <w:szCs w:val="20"/>
          <w:color w:val="auto"/>
        </w:rPr>
      </w:pPr>
      <w:r>
        <w:rPr>
          <w:rFonts w:ascii="Arial" w:cs="Arial" w:eastAsia="Arial" w:hAnsi="Arial"/>
          <w:sz w:val="14"/>
          <w:szCs w:val="14"/>
          <w:color w:val="auto"/>
        </w:rPr>
        <w:t>(Mark One)</w:t>
      </w:r>
    </w:p>
    <w:p>
      <w:pPr>
        <w:spacing w:after="0" w:line="12" w:lineRule="exact"/>
        <w:rPr>
          <w:sz w:val="24"/>
          <w:szCs w:val="24"/>
          <w:color w:val="auto"/>
        </w:rPr>
      </w:pPr>
    </w:p>
    <w:p>
      <w:pPr>
        <w:ind w:left="480" w:hanging="430"/>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Quarterly Period Ended March 31, 2025</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95" w:lineRule="exact"/>
        <w:rPr>
          <w:sz w:val="24"/>
          <w:szCs w:val="24"/>
          <w:color w:val="auto"/>
        </w:rPr>
      </w:pPr>
    </w:p>
    <w:p>
      <w:pPr>
        <w:ind w:left="480" w:hanging="430"/>
        <w:spacing w:after="0"/>
        <w:tabs>
          <w:tab w:leader="none" w:pos="4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3" w:lineRule="exact"/>
        <w:rPr>
          <w:sz w:val="24"/>
          <w:szCs w:val="24"/>
          <w:color w:val="auto"/>
        </w:rPr>
      </w:pPr>
    </w:p>
    <w:tbl>
      <w:tblPr>
        <w:tblLayout w:type="fixed"/>
        <w:tblInd w:w="3080" w:type="dxa"/>
        <w:tblCellMar>
          <w:top w:w="0" w:type="dxa"/>
          <w:left w:w="0" w:type="dxa"/>
          <w:bottom w:w="0" w:type="dxa"/>
          <w:right w:w="0" w:type="dxa"/>
        </w:tblCellMar>
      </w:tblPr>
      <w:tr>
        <w:trPr>
          <w:trHeight w:val="162"/>
        </w:trPr>
        <w:tc>
          <w:tcPr>
            <w:tcW w:w="2680" w:type="dxa"/>
            <w:vAlign w:val="bottom"/>
            <w:gridSpan w:val="3"/>
          </w:tcPr>
          <w:p>
            <w:pPr>
              <w:spacing w:after="0"/>
              <w:rPr>
                <w:sz w:val="20"/>
                <w:szCs w:val="20"/>
                <w:color w:val="auto"/>
              </w:rPr>
            </w:pPr>
            <w:r>
              <w:rPr>
                <w:rFonts w:ascii="Arial" w:cs="Arial" w:eastAsia="Arial" w:hAnsi="Arial"/>
                <w:sz w:val="14"/>
                <w:szCs w:val="14"/>
                <w:color w:val="auto"/>
              </w:rPr>
              <w:t>For the transition period from</w:t>
            </w:r>
          </w:p>
        </w:tc>
        <w:tc>
          <w:tcPr>
            <w:tcW w:w="160" w:type="dxa"/>
            <w:vAlign w:val="bottom"/>
          </w:tcPr>
          <w:p>
            <w:pPr>
              <w:ind w:left="40"/>
              <w:spacing w:after="0"/>
              <w:rPr>
                <w:sz w:val="20"/>
                <w:szCs w:val="20"/>
                <w:color w:val="auto"/>
              </w:rPr>
            </w:pPr>
            <w:r>
              <w:rPr>
                <w:rFonts w:ascii="Arial" w:cs="Arial" w:eastAsia="Arial" w:hAnsi="Arial"/>
                <w:sz w:val="14"/>
                <w:szCs w:val="14"/>
                <w:color w:val="auto"/>
                <w:w w:val="85"/>
              </w:rPr>
              <w:t>to</w:t>
            </w:r>
          </w:p>
        </w:tc>
      </w:tr>
      <w:tr>
        <w:trPr>
          <w:trHeight w:val="190"/>
        </w:trPr>
        <w:tc>
          <w:tcPr>
            <w:tcW w:w="2680" w:type="dxa"/>
            <w:vAlign w:val="bottom"/>
            <w:gridSpan w:val="3"/>
          </w:tcPr>
          <w:p>
            <w:pPr>
              <w:ind w:left="240"/>
              <w:spacing w:after="0"/>
              <w:rPr>
                <w:sz w:val="20"/>
                <w:szCs w:val="20"/>
                <w:color w:val="auto"/>
              </w:rPr>
            </w:pPr>
            <w:r>
              <w:rPr>
                <w:rFonts w:ascii="Arial" w:cs="Arial" w:eastAsia="Arial" w:hAnsi="Arial"/>
                <w:sz w:val="14"/>
                <w:szCs w:val="14"/>
                <w:color w:val="auto"/>
              </w:rPr>
              <w:t>Commission File Number: 001-39450</w:t>
            </w:r>
          </w:p>
        </w:tc>
        <w:tc>
          <w:tcPr>
            <w:tcW w:w="160" w:type="dxa"/>
            <w:vAlign w:val="bottom"/>
          </w:tcPr>
          <w:p>
            <w:pPr>
              <w:spacing w:after="0"/>
              <w:rPr>
                <w:sz w:val="16"/>
                <w:szCs w:val="16"/>
                <w:color w:val="auto"/>
              </w:rPr>
            </w:pPr>
          </w:p>
        </w:tc>
      </w:tr>
      <w:tr>
        <w:trPr>
          <w:trHeight w:val="69"/>
        </w:trPr>
        <w:tc>
          <w:tcPr>
            <w:tcW w:w="3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r>
    </w:tbl>
    <w:p>
      <w:pPr>
        <w:spacing w:after="0" w:line="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HARMONY BIOSCIENCES HOLDINGS,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48895</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51" w:lineRule="exact"/>
        <w:rPr>
          <w:sz w:val="24"/>
          <w:szCs w:val="24"/>
          <w:color w:val="auto"/>
        </w:rPr>
      </w:pPr>
    </w:p>
    <w:tbl>
      <w:tblPr>
        <w:tblLayout w:type="fixed"/>
        <w:tblInd w:w="280" w:type="dxa"/>
        <w:tblCellMar>
          <w:top w:w="0" w:type="dxa"/>
          <w:left w:w="0" w:type="dxa"/>
          <w:bottom w:w="0" w:type="dxa"/>
          <w:right w:w="0" w:type="dxa"/>
        </w:tblCellMar>
      </w:tblPr>
      <w:tr>
        <w:trPr>
          <w:trHeight w:val="162"/>
        </w:trPr>
        <w:tc>
          <w:tcPr>
            <w:tcW w:w="4940" w:type="dxa"/>
            <w:vAlign w:val="bottom"/>
          </w:tcPr>
          <w:p>
            <w:pPr>
              <w:jc w:val="center"/>
              <w:ind w:right="868"/>
              <w:spacing w:after="0"/>
              <w:rPr>
                <w:sz w:val="20"/>
                <w:szCs w:val="20"/>
                <w:color w:val="auto"/>
              </w:rPr>
            </w:pPr>
            <w:r>
              <w:rPr>
                <w:rFonts w:ascii="Arial" w:cs="Arial" w:eastAsia="Arial" w:hAnsi="Arial"/>
                <w:sz w:val="14"/>
                <w:szCs w:val="14"/>
                <w:b w:val="1"/>
                <w:bCs w:val="1"/>
                <w:color w:val="auto"/>
              </w:rPr>
              <w:t>Delaware</w:t>
            </w:r>
          </w:p>
        </w:tc>
        <w:tc>
          <w:tcPr>
            <w:tcW w:w="2080" w:type="dxa"/>
            <w:vAlign w:val="bottom"/>
          </w:tcPr>
          <w:p>
            <w:pPr>
              <w:jc w:val="right"/>
              <w:ind w:right="108"/>
              <w:spacing w:after="0"/>
              <w:rPr>
                <w:sz w:val="20"/>
                <w:szCs w:val="20"/>
                <w:color w:val="auto"/>
              </w:rPr>
            </w:pPr>
            <w:r>
              <w:rPr>
                <w:rFonts w:ascii="Arial" w:cs="Arial" w:eastAsia="Arial" w:hAnsi="Arial"/>
                <w:sz w:val="14"/>
                <w:szCs w:val="14"/>
                <w:b w:val="1"/>
                <w:bCs w:val="1"/>
                <w:color w:val="auto"/>
              </w:rPr>
              <w:t>82-2279923</w:t>
            </w:r>
          </w:p>
        </w:tc>
      </w:tr>
      <w:tr>
        <w:trPr>
          <w:trHeight w:val="162"/>
        </w:trPr>
        <w:tc>
          <w:tcPr>
            <w:tcW w:w="4940" w:type="dxa"/>
            <w:vAlign w:val="bottom"/>
          </w:tcPr>
          <w:p>
            <w:pPr>
              <w:jc w:val="center"/>
              <w:ind w:right="868"/>
              <w:spacing w:after="0"/>
              <w:rPr>
                <w:sz w:val="20"/>
                <w:szCs w:val="20"/>
                <w:color w:val="auto"/>
              </w:rPr>
            </w:pPr>
            <w:r>
              <w:rPr>
                <w:rFonts w:ascii="Arial" w:cs="Arial" w:eastAsia="Arial" w:hAnsi="Arial"/>
                <w:sz w:val="14"/>
                <w:szCs w:val="14"/>
                <w:color w:val="auto"/>
              </w:rPr>
              <w:t>(State or other jurisdiction of</w:t>
            </w:r>
          </w:p>
        </w:tc>
        <w:tc>
          <w:tcPr>
            <w:tcW w:w="2080" w:type="dxa"/>
            <w:vAlign w:val="bottom"/>
          </w:tcPr>
          <w:p>
            <w:pPr>
              <w:jc w:val="center"/>
              <w:ind w:left="868"/>
              <w:spacing w:after="0"/>
              <w:rPr>
                <w:sz w:val="20"/>
                <w:szCs w:val="20"/>
                <w:color w:val="auto"/>
              </w:rPr>
            </w:pPr>
            <w:r>
              <w:rPr>
                <w:rFonts w:ascii="Arial" w:cs="Arial" w:eastAsia="Arial" w:hAnsi="Arial"/>
                <w:sz w:val="14"/>
                <w:szCs w:val="14"/>
                <w:color w:val="auto"/>
              </w:rPr>
              <w:t>(I.R.S. Employer</w:t>
            </w:r>
          </w:p>
        </w:tc>
      </w:tr>
      <w:tr>
        <w:trPr>
          <w:trHeight w:val="190"/>
        </w:trPr>
        <w:tc>
          <w:tcPr>
            <w:tcW w:w="4940" w:type="dxa"/>
            <w:vAlign w:val="bottom"/>
          </w:tcPr>
          <w:p>
            <w:pPr>
              <w:jc w:val="center"/>
              <w:ind w:right="868"/>
              <w:spacing w:after="0"/>
              <w:rPr>
                <w:sz w:val="20"/>
                <w:szCs w:val="20"/>
                <w:color w:val="auto"/>
              </w:rPr>
            </w:pPr>
            <w:r>
              <w:rPr>
                <w:rFonts w:ascii="Arial" w:cs="Arial" w:eastAsia="Arial" w:hAnsi="Arial"/>
                <w:sz w:val="14"/>
                <w:szCs w:val="14"/>
                <w:color w:val="auto"/>
              </w:rPr>
              <w:t>incorporation or organization)</w:t>
            </w:r>
          </w:p>
        </w:tc>
        <w:tc>
          <w:tcPr>
            <w:tcW w:w="2080" w:type="dxa"/>
            <w:vAlign w:val="bottom"/>
          </w:tcPr>
          <w:p>
            <w:pPr>
              <w:jc w:val="center"/>
              <w:ind w:left="888"/>
              <w:spacing w:after="0"/>
              <w:rPr>
                <w:sz w:val="20"/>
                <w:szCs w:val="20"/>
                <w:color w:val="auto"/>
              </w:rPr>
            </w:pPr>
            <w:r>
              <w:rPr>
                <w:rFonts w:ascii="Arial" w:cs="Arial" w:eastAsia="Arial" w:hAnsi="Arial"/>
                <w:sz w:val="14"/>
                <w:szCs w:val="14"/>
                <w:color w:val="auto"/>
              </w:rPr>
              <w:t>Identification No.)</w:t>
            </w:r>
          </w:p>
        </w:tc>
      </w:tr>
      <w:tr>
        <w:trPr>
          <w:trHeight w:val="309"/>
        </w:trPr>
        <w:tc>
          <w:tcPr>
            <w:tcW w:w="4940" w:type="dxa"/>
            <w:vAlign w:val="bottom"/>
          </w:tcPr>
          <w:p>
            <w:pPr>
              <w:jc w:val="center"/>
              <w:ind w:right="868"/>
              <w:spacing w:after="0"/>
              <w:rPr>
                <w:sz w:val="20"/>
                <w:szCs w:val="20"/>
                <w:color w:val="auto"/>
              </w:rPr>
            </w:pPr>
            <w:r>
              <w:rPr>
                <w:rFonts w:ascii="Arial" w:cs="Arial" w:eastAsia="Arial" w:hAnsi="Arial"/>
                <w:sz w:val="14"/>
                <w:szCs w:val="14"/>
                <w:b w:val="1"/>
                <w:bCs w:val="1"/>
                <w:color w:val="auto"/>
              </w:rPr>
              <w:t>630 W. Germantown Pike, Suite 215, Plymouth Meeting, PA</w:t>
            </w:r>
          </w:p>
        </w:tc>
        <w:tc>
          <w:tcPr>
            <w:tcW w:w="2080" w:type="dxa"/>
            <w:vAlign w:val="bottom"/>
          </w:tcPr>
          <w:p>
            <w:pPr>
              <w:jc w:val="right"/>
              <w:ind w:right="288"/>
              <w:spacing w:after="0"/>
              <w:rPr>
                <w:sz w:val="20"/>
                <w:szCs w:val="20"/>
                <w:color w:val="auto"/>
              </w:rPr>
            </w:pPr>
            <w:r>
              <w:rPr>
                <w:rFonts w:ascii="Arial" w:cs="Arial" w:eastAsia="Arial" w:hAnsi="Arial"/>
                <w:sz w:val="14"/>
                <w:szCs w:val="14"/>
                <w:b w:val="1"/>
                <w:bCs w:val="1"/>
                <w:color w:val="auto"/>
              </w:rPr>
              <w:t>19462</w:t>
            </w:r>
          </w:p>
        </w:tc>
      </w:tr>
      <w:tr>
        <w:trPr>
          <w:trHeight w:val="190"/>
        </w:trPr>
        <w:tc>
          <w:tcPr>
            <w:tcW w:w="4940" w:type="dxa"/>
            <w:vAlign w:val="bottom"/>
          </w:tcPr>
          <w:p>
            <w:pPr>
              <w:jc w:val="center"/>
              <w:ind w:right="848"/>
              <w:spacing w:after="0"/>
              <w:rPr>
                <w:sz w:val="20"/>
                <w:szCs w:val="20"/>
                <w:color w:val="auto"/>
              </w:rPr>
            </w:pPr>
            <w:r>
              <w:rPr>
                <w:rFonts w:ascii="Arial" w:cs="Arial" w:eastAsia="Arial" w:hAnsi="Arial"/>
                <w:sz w:val="14"/>
                <w:szCs w:val="14"/>
                <w:color w:val="auto"/>
              </w:rPr>
              <w:t>(Address of principal executive offices)</w:t>
            </w:r>
          </w:p>
        </w:tc>
        <w:tc>
          <w:tcPr>
            <w:tcW w:w="2080" w:type="dxa"/>
            <w:vAlign w:val="bottom"/>
          </w:tcPr>
          <w:p>
            <w:pPr>
              <w:jc w:val="center"/>
              <w:ind w:left="888"/>
              <w:spacing w:after="0"/>
              <w:rPr>
                <w:sz w:val="20"/>
                <w:szCs w:val="20"/>
                <w:color w:val="auto"/>
              </w:rPr>
            </w:pPr>
            <w:r>
              <w:rPr>
                <w:rFonts w:ascii="Arial" w:cs="Arial" w:eastAsia="Arial" w:hAnsi="Arial"/>
                <w:sz w:val="14"/>
                <w:szCs w:val="14"/>
                <w:color w:val="auto"/>
              </w:rPr>
              <w:t>(Zip Code)</w:t>
            </w:r>
          </w:p>
        </w:tc>
      </w:tr>
    </w:tbl>
    <w:p>
      <w:pPr>
        <w:spacing w:after="0" w:line="1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(484) 539-9800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0" w:lineRule="exact"/>
        <w:rPr>
          <w:sz w:val="24"/>
          <w:szCs w:val="24"/>
          <w:color w:val="auto"/>
        </w:rPr>
      </w:pPr>
    </w:p>
    <w:p>
      <w:pPr>
        <w:spacing w:after="0" w:line="287" w:lineRule="exact"/>
        <w:rPr>
          <w:sz w:val="24"/>
          <w:szCs w:val="24"/>
          <w:color w:val="auto"/>
        </w:rPr>
      </w:pPr>
    </w:p>
    <w:tbl>
      <w:tblPr>
        <w:tblLayout w:type="fixed"/>
        <w:tblInd w:w="6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Trading</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71"/>
        </w:trPr>
        <w:tc>
          <w:tcPr>
            <w:tcW w:w="3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Title of each class</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Symbol(s)</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146"/>
        </w:trPr>
        <w:tc>
          <w:tcPr>
            <w:tcW w:w="34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Common Stock, par value $0.00001 value per share</w:t>
            </w:r>
          </w:p>
        </w:tc>
        <w:tc>
          <w:tcPr>
            <w:tcW w:w="16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HRMY</w:t>
            </w:r>
          </w:p>
        </w:tc>
        <w:tc>
          <w:tcPr>
            <w:tcW w:w="160" w:type="dxa"/>
            <w:vAlign w:val="bottom"/>
          </w:tcPr>
          <w:p>
            <w:pPr>
              <w:spacing w:after="0"/>
              <w:rPr>
                <w:sz w:val="12"/>
                <w:szCs w:val="12"/>
                <w:color w:val="auto"/>
              </w:rPr>
            </w:pPr>
          </w:p>
        </w:tc>
        <w:tc>
          <w:tcPr>
            <w:tcW w:w="34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The Nasdaq Stock Market LLC</w:t>
            </w:r>
          </w:p>
        </w:tc>
      </w:tr>
      <w:tr>
        <w:trPr>
          <w:trHeight w:val="190"/>
        </w:trPr>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rPr>
              <w:t>(Nasdaq Global Market)</w:t>
            </w:r>
          </w:p>
        </w:tc>
      </w:tr>
    </w:tbl>
    <w:p>
      <w:pPr>
        <w:spacing w:after="0" w:line="134" w:lineRule="exact"/>
        <w:rPr>
          <w:sz w:val="24"/>
          <w:szCs w:val="24"/>
          <w:color w:val="auto"/>
        </w:rPr>
      </w:pPr>
    </w:p>
    <w:p>
      <w:pPr>
        <w:ind w:left="60" w:right="159"/>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left="60" w:right="199"/>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left="60" w:right="259"/>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3" w:lineRule="exact"/>
        <w:rPr>
          <w:sz w:val="24"/>
          <w:szCs w:val="24"/>
          <w:color w:val="auto"/>
        </w:rPr>
      </w:pPr>
    </w:p>
    <w:tbl>
      <w:tblPr>
        <w:tblLayout w:type="fixed"/>
        <w:tblInd w:w="100" w:type="dxa"/>
        <w:tblCellMar>
          <w:top w:w="0" w:type="dxa"/>
          <w:left w:w="0" w:type="dxa"/>
          <w:bottom w:w="0" w:type="dxa"/>
          <w:right w:w="0" w:type="dxa"/>
        </w:tblCellMar>
      </w:tblPr>
      <w:tr>
        <w:trPr>
          <w:trHeight w:val="189"/>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00" w:type="dxa"/>
            <w:vAlign w:val="bottom"/>
          </w:tcPr>
          <w:p>
            <w:pPr>
              <w:ind w:left="234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00" w:type="dxa"/>
            <w:vAlign w:val="bottom"/>
          </w:tcPr>
          <w:p>
            <w:pPr>
              <w:ind w:left="234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5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4200" w:type="dxa"/>
            <w:vAlign w:val="bottom"/>
          </w:tcPr>
          <w:p>
            <w:pPr>
              <w:ind w:left="234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14" w:lineRule="exact"/>
        <w:rPr>
          <w:sz w:val="24"/>
          <w:szCs w:val="24"/>
          <w:color w:val="auto"/>
        </w:rPr>
      </w:pPr>
    </w:p>
    <w:p>
      <w:pPr>
        <w:ind w:left="60" w:right="159"/>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60"/>
        <w:spacing w:after="0" w:line="161" w:lineRule="exact"/>
        <w:tabs>
          <w:tab w:leader="none" w:pos="79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4" w:lineRule="exact"/>
        <w:rPr>
          <w:sz w:val="24"/>
          <w:szCs w:val="24"/>
          <w:color w:val="auto"/>
        </w:rPr>
      </w:pPr>
    </w:p>
    <w:p>
      <w:pPr>
        <w:ind w:left="60" w:right="679" w:firstLine="648"/>
        <w:spacing w:after="0" w:line="285" w:lineRule="auto"/>
        <w:rPr>
          <w:sz w:val="20"/>
          <w:szCs w:val="20"/>
          <w:color w:val="auto"/>
        </w:rPr>
      </w:pPr>
      <w:r>
        <w:rPr>
          <w:rFonts w:ascii="Arial" w:cs="Arial" w:eastAsia="Arial" w:hAnsi="Arial"/>
          <w:sz w:val="14"/>
          <w:szCs w:val="14"/>
          <w:color w:val="auto"/>
        </w:rPr>
        <w:t>As of May 2, 2025, there were 57,424,319 shares of the registrant’s common stock, par value $0.00001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534670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114300</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157480</wp:posOffset>
            </wp:positionV>
            <wp:extent cx="565785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200" w:type="dxa"/>
            <w:vAlign w:val="bottom"/>
            <w:gridSpan w:val="7"/>
            <w:vMerge w:val="restart"/>
          </w:tcPr>
          <w:p>
            <w:pPr>
              <w:spacing w:after="0"/>
              <w:rPr>
                <w:sz w:val="20"/>
                <w:szCs w:val="20"/>
                <w:color w:val="auto"/>
              </w:rPr>
            </w:pPr>
            <w:r>
              <w:rPr>
                <w:rFonts w:ascii="Arial" w:cs="Arial" w:eastAsia="Arial" w:hAnsi="Arial"/>
                <w:sz w:val="18"/>
                <w:szCs w:val="18"/>
                <w:color w:val="0000EE"/>
                <w:w w:val="99"/>
              </w:rPr>
              <w:t>Part I. Financial Information</w:t>
            </w:r>
          </w:p>
        </w:tc>
        <w:tc>
          <w:tcPr>
            <w:tcW w:w="5900" w:type="dxa"/>
            <w:vAlign w:val="bottom"/>
            <w:gridSpan w:val="14"/>
            <w:vMerge w:val="restart"/>
          </w:tcPr>
          <w:p>
            <w:pPr>
              <w:spacing w:after="0"/>
              <w:rPr>
                <w:sz w:val="14"/>
                <w:szCs w:val="14"/>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2200" w:type="dxa"/>
            <w:vAlign w:val="bottom"/>
            <w:tcBorders>
              <w:bottom w:val="single" w:sz="8" w:color="0000EE"/>
            </w:tcBorders>
            <w:gridSpan w:val="7"/>
            <w:vMerge w:val="continue"/>
          </w:tcPr>
          <w:p>
            <w:pPr>
              <w:spacing w:after="0"/>
              <w:rPr>
                <w:sz w:val="13"/>
                <w:szCs w:val="13"/>
                <w:color w:val="auto"/>
              </w:rPr>
            </w:pPr>
          </w:p>
        </w:tc>
        <w:tc>
          <w:tcPr>
            <w:tcW w:w="5900" w:type="dxa"/>
            <w:vAlign w:val="bottom"/>
            <w:gridSpan w:val="14"/>
            <w:vMerge w:val="continue"/>
          </w:tcPr>
          <w:p>
            <w:pPr>
              <w:spacing w:after="0"/>
              <w:rPr>
                <w:sz w:val="13"/>
                <w:szCs w:val="13"/>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80" w:type="dxa"/>
            <w:vAlign w:val="bottom"/>
            <w:gridSpan w:val="20"/>
          </w:tcPr>
          <w:p>
            <w:pPr>
              <w:spacing w:after="0" w:line="196" w:lineRule="exact"/>
              <w:rPr>
                <w:sz w:val="20"/>
                <w:szCs w:val="20"/>
                <w:color w:val="auto"/>
              </w:rPr>
            </w:pPr>
            <w:r>
              <w:rPr>
                <w:rFonts w:ascii="Arial" w:cs="Arial" w:eastAsia="Arial" w:hAnsi="Arial"/>
                <w:sz w:val="18"/>
                <w:szCs w:val="18"/>
                <w:color w:val="0000EE"/>
              </w:rPr>
              <w:t>Item 1. Financial Statements</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96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5"/>
              </w:rPr>
              <w:t>Condensed Consolidated</w:t>
            </w:r>
          </w:p>
        </w:tc>
        <w:tc>
          <w:tcPr>
            <w:tcW w:w="5500" w:type="dxa"/>
            <w:vAlign w:val="bottom"/>
            <w:gridSpan w:val="11"/>
          </w:tcPr>
          <w:p>
            <w:pPr>
              <w:ind w:left="120"/>
              <w:spacing w:after="0" w:line="182" w:lineRule="exact"/>
              <w:rPr>
                <w:sz w:val="20"/>
                <w:szCs w:val="20"/>
                <w:color w:val="auto"/>
              </w:rPr>
            </w:pPr>
            <w:r>
              <w:rPr>
                <w:rFonts w:ascii="Arial" w:cs="Arial" w:eastAsia="Arial" w:hAnsi="Arial"/>
                <w:sz w:val="18"/>
                <w:szCs w:val="18"/>
                <w:color w:val="0000EE"/>
              </w:rPr>
              <w:t>Balance Sheets (Unaudited)</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19"/>
          </w:tcPr>
          <w:p>
            <w:pPr>
              <w:spacing w:after="0" w:line="182" w:lineRule="exact"/>
              <w:rPr>
                <w:sz w:val="20"/>
                <w:szCs w:val="20"/>
                <w:color w:val="auto"/>
              </w:rPr>
            </w:pPr>
            <w:r>
              <w:rPr>
                <w:rFonts w:ascii="Arial" w:cs="Arial" w:eastAsia="Arial" w:hAnsi="Arial"/>
                <w:sz w:val="18"/>
                <w:szCs w:val="18"/>
                <w:color w:val="0000EE"/>
              </w:rPr>
              <w:t>Condensed Consolidated Statements of Operations and Comprehensive Income (Unaudited)</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Condensed Consolidated Statements of Stockholders’ Equity (Unaudited)</w:t>
            </w:r>
          </w:p>
        </w:tc>
        <w:tc>
          <w:tcPr>
            <w:tcW w:w="6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6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Condensed Consolidated Statements of Cash Flows (Unaudited)</w:t>
            </w:r>
          </w:p>
        </w:tc>
        <w:tc>
          <w:tcPr>
            <w:tcW w:w="150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19"/>
          </w:tcPr>
          <w:p>
            <w:pPr>
              <w:spacing w:after="0" w:line="182" w:lineRule="exact"/>
              <w:rPr>
                <w:sz w:val="20"/>
                <w:szCs w:val="20"/>
                <w:color w:val="auto"/>
              </w:rPr>
            </w:pPr>
            <w:r>
              <w:rPr>
                <w:rFonts w:ascii="Arial" w:cs="Arial" w:eastAsia="Arial" w:hAnsi="Arial"/>
                <w:sz w:val="18"/>
                <w:szCs w:val="18"/>
                <w:color w:val="0000EE"/>
              </w:rPr>
              <w:t>Notes to Condensed Consolidated Financial Statements (Unaudited)</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vMerge w:val="restart"/>
          </w:tcPr>
          <w:p>
            <w:pPr>
              <w:spacing w:after="0" w:line="202" w:lineRule="exact"/>
              <w:rPr>
                <w:sz w:val="20"/>
                <w:szCs w:val="20"/>
                <w:color w:val="auto"/>
              </w:rPr>
            </w:pPr>
            <w:r>
              <w:rPr>
                <w:rFonts w:ascii="Arial" w:cs="Arial" w:eastAsia="Arial" w:hAnsi="Arial"/>
                <w:sz w:val="18"/>
                <w:szCs w:val="18"/>
                <w:color w:val="0000EE"/>
                <w:w w:val="85"/>
              </w:rPr>
              <w:t>Item</w:t>
            </w: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7460" w:type="dxa"/>
            <w:vAlign w:val="bottom"/>
            <w:gridSpan w:val="19"/>
          </w:tcPr>
          <w:p>
            <w:pPr>
              <w:ind w:left="80"/>
              <w:spacing w:after="0" w:line="182" w:lineRule="exact"/>
              <w:rPr>
                <w:sz w:val="20"/>
                <w:szCs w:val="20"/>
                <w:color w:val="auto"/>
              </w:rPr>
            </w:pPr>
            <w:r>
              <w:rPr>
                <w:rFonts w:ascii="Arial" w:cs="Arial" w:eastAsia="Arial" w:hAnsi="Arial"/>
                <w:sz w:val="18"/>
                <w:szCs w:val="18"/>
                <w:color w:val="0000EE"/>
              </w:rPr>
              <w:t>2. Management’s Discussion and Analysis of Financial Condition and Results of Operations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68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Item 3. Quantitative and Qualitative Disclosures About Market Risk</w:t>
            </w:r>
          </w:p>
        </w:tc>
        <w:tc>
          <w:tcPr>
            <w:tcW w:w="100" w:type="dxa"/>
            <w:vAlign w:val="bottom"/>
            <w:gridSpan w:val="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30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Item 4. Controls and Procedures</w:t>
            </w:r>
          </w:p>
        </w:tc>
        <w:tc>
          <w:tcPr>
            <w:tcW w:w="180" w:type="dxa"/>
            <w:vAlign w:val="bottom"/>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3"/>
        </w:trPr>
        <w:tc>
          <w:tcPr>
            <w:tcW w:w="32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0"/>
              </w:rPr>
              <w:t>Part</w:t>
            </w:r>
          </w:p>
        </w:tc>
        <w:tc>
          <w:tcPr>
            <w:tcW w:w="1660" w:type="dxa"/>
            <w:vAlign w:val="bottom"/>
            <w:tcBorders>
              <w:top w:val="single" w:sz="8" w:color="0000EE"/>
              <w:bottom w:val="single" w:sz="8" w:color="0000EE"/>
            </w:tcBorders>
            <w:gridSpan w:val="4"/>
          </w:tcPr>
          <w:p>
            <w:pPr>
              <w:ind w:left="60"/>
              <w:spacing w:after="0" w:line="182" w:lineRule="exact"/>
              <w:rPr>
                <w:sz w:val="20"/>
                <w:szCs w:val="20"/>
                <w:color w:val="auto"/>
              </w:rPr>
            </w:pPr>
            <w:r>
              <w:rPr>
                <w:rFonts w:ascii="Arial" w:cs="Arial" w:eastAsia="Arial" w:hAnsi="Arial"/>
                <w:sz w:val="18"/>
                <w:szCs w:val="18"/>
                <w:color w:val="0000EE"/>
                <w:w w:val="98"/>
              </w:rPr>
              <w:t>II. Other Information</w:t>
            </w:r>
          </w:p>
        </w:tc>
        <w:tc>
          <w:tcPr>
            <w:tcW w:w="920" w:type="dxa"/>
            <w:vAlign w:val="bottom"/>
            <w:tcBorders>
              <w:top w:val="single" w:sz="8" w:color="0000EE"/>
            </w:tcBorders>
            <w:gridSpan w:val="7"/>
          </w:tcPr>
          <w:p>
            <w:pPr>
              <w:spacing w:after="0"/>
              <w:rPr>
                <w:sz w:val="15"/>
                <w:szCs w:val="15"/>
                <w:color w:val="auto"/>
              </w:rPr>
            </w:pPr>
          </w:p>
        </w:tc>
        <w:tc>
          <w:tcPr>
            <w:tcW w:w="540" w:type="dxa"/>
            <w:vAlign w:val="bottom"/>
          </w:tcPr>
          <w:p>
            <w:pPr>
              <w:spacing w:after="0"/>
              <w:rPr>
                <w:sz w:val="15"/>
                <w:szCs w:val="15"/>
                <w:color w:val="auto"/>
              </w:rPr>
            </w:pPr>
          </w:p>
        </w:tc>
        <w:tc>
          <w:tcPr>
            <w:tcW w:w="2360" w:type="dxa"/>
            <w:vAlign w:val="bottom"/>
            <w:gridSpan w:val="3"/>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780" w:type="dxa"/>
            <w:vAlign w:val="bottom"/>
            <w:gridSpan w:val="20"/>
          </w:tcPr>
          <w:p>
            <w:pPr>
              <w:spacing w:after="0" w:line="182" w:lineRule="exact"/>
              <w:rPr>
                <w:sz w:val="20"/>
                <w:szCs w:val="20"/>
                <w:color w:val="auto"/>
              </w:rPr>
            </w:pPr>
            <w:r>
              <w:rPr>
                <w:rFonts w:ascii="Arial" w:cs="Arial" w:eastAsia="Arial" w:hAnsi="Arial"/>
                <w:sz w:val="18"/>
                <w:szCs w:val="18"/>
                <w:color w:val="0000EE"/>
              </w:rPr>
              <w:t>Item 1. Legal Proceedings</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10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Item 1A. Risk Factors</w:t>
            </w:r>
          </w:p>
        </w:tc>
        <w:tc>
          <w:tcPr>
            <w:tcW w:w="420" w:type="dxa"/>
            <w:vAlign w:val="bottom"/>
            <w:gridSpan w:val="2"/>
          </w:tcPr>
          <w:p>
            <w:pPr>
              <w:spacing w:after="0"/>
              <w:rPr>
                <w:sz w:val="15"/>
                <w:szCs w:val="15"/>
                <w:color w:val="auto"/>
              </w:rPr>
            </w:pPr>
          </w:p>
        </w:tc>
        <w:tc>
          <w:tcPr>
            <w:tcW w:w="600" w:type="dxa"/>
            <w:vAlign w:val="bottom"/>
            <w:gridSpan w:val="2"/>
          </w:tcPr>
          <w:p>
            <w:pPr>
              <w:spacing w:after="0"/>
              <w:rPr>
                <w:sz w:val="15"/>
                <w:szCs w:val="15"/>
                <w:color w:val="auto"/>
              </w:rPr>
            </w:pPr>
          </w:p>
        </w:tc>
        <w:tc>
          <w:tcPr>
            <w:tcW w:w="2360" w:type="dxa"/>
            <w:vAlign w:val="bottom"/>
            <w:gridSpan w:val="3"/>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172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Item 2. Unregistered</w:t>
            </w:r>
          </w:p>
        </w:tc>
        <w:tc>
          <w:tcPr>
            <w:tcW w:w="6060" w:type="dxa"/>
            <w:vAlign w:val="bottom"/>
            <w:gridSpan w:val="15"/>
          </w:tcPr>
          <w:p>
            <w:pPr>
              <w:spacing w:after="0" w:line="182" w:lineRule="exact"/>
              <w:rPr>
                <w:sz w:val="20"/>
                <w:szCs w:val="20"/>
                <w:color w:val="auto"/>
              </w:rPr>
            </w:pPr>
            <w:r>
              <w:rPr>
                <w:rFonts w:ascii="Arial" w:cs="Arial" w:eastAsia="Arial" w:hAnsi="Arial"/>
                <w:sz w:val="18"/>
                <w:szCs w:val="18"/>
                <w:color w:val="0000EE"/>
              </w:rPr>
              <w:t>Sales of Equity Securities and Use of Proceeds</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48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Item 3. Defaults upon Senior Securities</w:t>
            </w: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12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Item 4. Mine Safety Disclosures</w:t>
            </w:r>
          </w:p>
        </w:tc>
        <w:tc>
          <w:tcPr>
            <w:tcW w:w="4660" w:type="dxa"/>
            <w:vAlign w:val="bottom"/>
            <w:gridSpan w:val="8"/>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52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Item 5. Other Information</w:t>
            </w:r>
          </w:p>
        </w:tc>
        <w:tc>
          <w:tcPr>
            <w:tcW w:w="5260" w:type="dxa"/>
            <w:vAlign w:val="bottom"/>
            <w:gridSpan w:val="10"/>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00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Item 6. Exhibits</w:t>
            </w:r>
          </w:p>
        </w:tc>
        <w:tc>
          <w:tcPr>
            <w:tcW w:w="5780" w:type="dxa"/>
            <w:vAlign w:val="bottom"/>
            <w:gridSpan w:val="13"/>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560" w:type="dxa"/>
            <w:vAlign w:val="bottom"/>
            <w:gridSpan w:val="17"/>
            <w:vMerge w:val="restart"/>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line="20" w:lineRule="exact"/>
              <w:rPr>
                <w:sz w:val="1"/>
                <w:szCs w:val="1"/>
                <w:color w:val="auto"/>
              </w:rPr>
            </w:pPr>
          </w:p>
        </w:tc>
      </w:tr>
      <w:tr>
        <w:trPr>
          <w:trHeight w:val="183"/>
        </w:trPr>
        <w:tc>
          <w:tcPr>
            <w:tcW w:w="86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Signatures</w:t>
            </w:r>
          </w:p>
        </w:tc>
        <w:tc>
          <w:tcPr>
            <w:tcW w:w="680" w:type="dxa"/>
            <w:vAlign w:val="bottom"/>
          </w:tcPr>
          <w:p>
            <w:pPr>
              <w:spacing w:after="0"/>
              <w:rPr>
                <w:sz w:val="15"/>
                <w:szCs w:val="15"/>
                <w:color w:val="auto"/>
              </w:rPr>
            </w:pPr>
          </w:p>
        </w:tc>
        <w:tc>
          <w:tcPr>
            <w:tcW w:w="6560" w:type="dxa"/>
            <w:vAlign w:val="bottom"/>
            <w:gridSpan w:val="17"/>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ind w:left="60" w:right="79"/>
        <w:spacing w:after="0" w:line="280" w:lineRule="auto"/>
        <w:rPr>
          <w:sz w:val="20"/>
          <w:szCs w:val="20"/>
          <w:color w:val="auto"/>
        </w:rPr>
      </w:pPr>
      <w:r>
        <w:rPr>
          <w:rFonts w:ascii="Arial" w:cs="Arial" w:eastAsia="Arial" w:hAnsi="Arial"/>
          <w:sz w:val="17"/>
          <w:szCs w:val="17"/>
          <w:b w:val="1"/>
          <w:bCs w:val="1"/>
          <w:color w:val="auto"/>
        </w:rPr>
        <w:t>HARMONY BIOSCIENCES HOLDINGS, INC. AND SUBSIDIARIES UNAUDITED CONDENSED CONSOLIDATED BALANCE SHEETS (In thousands, except share and per share data)</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2024</w:t>
            </w:r>
          </w:p>
        </w:tc>
      </w:tr>
      <w:tr>
        <w:trPr>
          <w:trHeight w:val="156"/>
        </w:trPr>
        <w:tc>
          <w:tcPr>
            <w:tcW w:w="65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2"/>
        </w:trPr>
        <w:tc>
          <w:tcPr>
            <w:tcW w:w="6560" w:type="dxa"/>
            <w:vAlign w:val="bottom"/>
          </w:tcPr>
          <w:p>
            <w:pPr>
              <w:ind w:left="10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488,998</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453,001</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Investments, short-term</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17,955</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14,185</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 net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105,969</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83,033</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Inventory, net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6,384</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7,198</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16,470</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13,714</w:t>
            </w:r>
          </w:p>
        </w:tc>
      </w:tr>
      <w:tr>
        <w:trPr>
          <w:trHeight w:val="162"/>
        </w:trPr>
        <w:tc>
          <w:tcPr>
            <w:tcW w:w="65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6,916</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8,121</w:t>
            </w:r>
          </w:p>
        </w:tc>
      </w:tr>
      <w:tr>
        <w:trPr>
          <w:trHeight w:val="155"/>
        </w:trPr>
        <w:tc>
          <w:tcPr>
            <w:tcW w:w="656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current assets</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642,692</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579,252</w:t>
            </w:r>
          </w:p>
        </w:tc>
      </w:tr>
      <w:tr>
        <w:trPr>
          <w:trHeight w:val="156"/>
        </w:trPr>
        <w:tc>
          <w:tcPr>
            <w:tcW w:w="6560" w:type="dxa"/>
            <w:vAlign w:val="bottom"/>
          </w:tcPr>
          <w:p>
            <w:pPr>
              <w:ind w:left="100"/>
              <w:spacing w:after="0" w:line="155" w:lineRule="exact"/>
              <w:rPr>
                <w:sz w:val="20"/>
                <w:szCs w:val="20"/>
                <w:color w:val="auto"/>
              </w:rPr>
            </w:pPr>
            <w:r>
              <w:rPr>
                <w:rFonts w:ascii="Arial" w:cs="Arial" w:eastAsia="Arial" w:hAnsi="Arial"/>
                <w:sz w:val="14"/>
                <w:szCs w:val="14"/>
                <w:color w:val="auto"/>
              </w:rPr>
              <w:t>NONCURRENT ASSETS: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Property and equipment, net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Investments, long-term</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103,245</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108,874</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107,302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113,263</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 asset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194,709</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190,398</w:t>
            </w:r>
          </w:p>
        </w:tc>
      </w:tr>
      <w:tr>
        <w:trPr>
          <w:trHeight w:val="162"/>
        </w:trPr>
        <w:tc>
          <w:tcPr>
            <w:tcW w:w="65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assets</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5,939</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5,886</w:t>
            </w:r>
          </w:p>
        </w:tc>
      </w:tr>
      <w:tr>
        <w:trPr>
          <w:trHeight w:val="155"/>
        </w:trPr>
        <w:tc>
          <w:tcPr>
            <w:tcW w:w="656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noncurrent assets</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412,843</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419,948</w:t>
            </w:r>
          </w:p>
        </w:tc>
      </w:tr>
      <w:tr>
        <w:trPr>
          <w:trHeight w:val="195"/>
        </w:trPr>
        <w:tc>
          <w:tcPr>
            <w:tcW w:w="65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1,055,535</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999,200</w:t>
            </w:r>
          </w:p>
        </w:tc>
      </w:tr>
      <w:tr>
        <w:trPr>
          <w:trHeight w:val="143"/>
        </w:trPr>
        <w:tc>
          <w:tcPr>
            <w:tcW w:w="65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LIABILITIES AND STOCKHOLDERS’ EQUITY</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62"/>
        </w:trPr>
        <w:tc>
          <w:tcPr>
            <w:tcW w:w="6560" w:type="dxa"/>
            <w:vAlign w:val="bottom"/>
          </w:tcPr>
          <w:p>
            <w:pPr>
              <w:ind w:left="10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payables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17,459</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13,744</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7,582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18,776</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112,701</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120,640</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Current portion of long-term debt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17,500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16,250</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liabilities</w:t>
            </w:r>
          </w:p>
        </w:tc>
        <w:tc>
          <w:tcPr>
            <w:tcW w:w="2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19,876</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5,672</w:t>
            </w:r>
          </w:p>
        </w:tc>
      </w:tr>
      <w:tr>
        <w:trPr>
          <w:trHeight w:val="155"/>
        </w:trPr>
        <w:tc>
          <w:tcPr>
            <w:tcW w:w="656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current liabilities</w:t>
            </w:r>
          </w:p>
        </w:tc>
        <w:tc>
          <w:tcPr>
            <w:tcW w:w="2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175,118</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175,082</w:t>
            </w:r>
          </w:p>
        </w:tc>
      </w:tr>
      <w:tr>
        <w:trPr>
          <w:trHeight w:val="155"/>
        </w:trPr>
        <w:tc>
          <w:tcPr>
            <w:tcW w:w="656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NONCURRENT LIABILITIES:</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Long-term debt, net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158,182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163,016</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liabilities</w:t>
            </w:r>
          </w:p>
        </w:tc>
        <w:tc>
          <w:tcPr>
            <w:tcW w:w="2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1,947</w:t>
            </w:r>
          </w:p>
        </w:tc>
      </w:tr>
      <w:tr>
        <w:trPr>
          <w:trHeight w:val="155"/>
        </w:trPr>
        <w:tc>
          <w:tcPr>
            <w:tcW w:w="656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noncurrent liabilities</w:t>
            </w:r>
          </w:p>
        </w:tc>
        <w:tc>
          <w:tcPr>
            <w:tcW w:w="2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159,892</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164,963</w:t>
            </w:r>
          </w:p>
        </w:tc>
      </w:tr>
      <w:tr>
        <w:trPr>
          <w:trHeight w:val="155"/>
        </w:trPr>
        <w:tc>
          <w:tcPr>
            <w:tcW w:w="6560" w:type="dxa"/>
            <w:vAlign w:val="bottom"/>
            <w:shd w:val="clear" w:color="auto" w:fill="CCEEFF"/>
          </w:tcPr>
          <w:p>
            <w:pPr>
              <w:ind w:left="320"/>
              <w:spacing w:after="0" w:line="155" w:lineRule="exact"/>
              <w:rPr>
                <w:sz w:val="20"/>
                <w:szCs w:val="20"/>
                <w:color w:val="auto"/>
              </w:rPr>
            </w:pPr>
            <w:r>
              <w:rPr>
                <w:rFonts w:ascii="Arial" w:cs="Arial" w:eastAsia="Arial" w:hAnsi="Arial"/>
                <w:sz w:val="14"/>
                <w:szCs w:val="14"/>
                <w:color w:val="auto"/>
              </w:rPr>
              <w:t>TOTAL LIABILITIES</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335,010</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340,045</w:t>
            </w:r>
          </w:p>
        </w:tc>
      </w:tr>
      <w:tr>
        <w:trPr>
          <w:trHeight w:val="155"/>
        </w:trPr>
        <w:tc>
          <w:tcPr>
            <w:tcW w:w="6560" w:type="dxa"/>
            <w:vAlign w:val="bottom"/>
          </w:tcPr>
          <w:p>
            <w:pPr>
              <w:ind w:left="100"/>
              <w:spacing w:after="0" w:line="155" w:lineRule="exact"/>
              <w:rPr>
                <w:sz w:val="20"/>
                <w:szCs w:val="20"/>
                <w:color w:val="auto"/>
              </w:rPr>
            </w:pPr>
            <w:r>
              <w:rPr>
                <w:rFonts w:ascii="Arial" w:cs="Arial" w:eastAsia="Arial" w:hAnsi="Arial"/>
                <w:sz w:val="14"/>
                <w:szCs w:val="14"/>
                <w:color w:val="auto"/>
              </w:rPr>
              <w:t>COMMITMENTS AND CONTINGENCIES (Note 13)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2"/>
        </w:trPr>
        <w:tc>
          <w:tcPr>
            <w:tcW w:w="6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STOCKHOLDERS’ EQUITY:</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53"/>
        </w:trPr>
        <w:tc>
          <w:tcPr>
            <w:tcW w:w="6560" w:type="dxa"/>
            <w:vAlign w:val="bottom"/>
          </w:tcPr>
          <w:p>
            <w:pPr>
              <w:ind w:left="220"/>
              <w:spacing w:after="0" w:line="153" w:lineRule="exact"/>
              <w:rPr>
                <w:sz w:val="20"/>
                <w:szCs w:val="20"/>
                <w:color w:val="auto"/>
              </w:rPr>
            </w:pPr>
            <w:r>
              <w:rPr>
                <w:rFonts w:ascii="Arial" w:cs="Arial" w:eastAsia="Arial" w:hAnsi="Arial"/>
                <w:sz w:val="14"/>
                <w:szCs w:val="14"/>
                <w:color w:val="auto"/>
              </w:rPr>
              <w:t>Common stock—$0.00001 par value; 500,000,000 shares authorized at March 31, 2025 and</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December 31, 2024, respectively; 57,393,673 and 57,144,887 shares issued and outstanding at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560" w:type="dxa"/>
            <w:vAlign w:val="bottom"/>
          </w:tcPr>
          <w:p>
            <w:pPr>
              <w:ind w:left="220"/>
              <w:spacing w:after="0"/>
              <w:rPr>
                <w:sz w:val="20"/>
                <w:szCs w:val="20"/>
                <w:color w:val="auto"/>
              </w:rPr>
            </w:pPr>
            <w:r>
              <w:rPr>
                <w:rFonts w:ascii="Arial" w:cs="Arial" w:eastAsia="Arial" w:hAnsi="Arial"/>
                <w:sz w:val="14"/>
                <w:szCs w:val="14"/>
                <w:color w:val="auto"/>
              </w:rPr>
              <w:t>March 31, 2025 and December 31, 2024, respectively</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 in capital</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672,503</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656,872</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Accumulated other comprehensive income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245</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Retained earnings</w:t>
            </w:r>
          </w:p>
        </w:tc>
        <w:tc>
          <w:tcPr>
            <w:tcW w:w="2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47,776</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2,216</w:t>
            </w:r>
          </w:p>
        </w:tc>
      </w:tr>
      <w:tr>
        <w:trPr>
          <w:trHeight w:val="155"/>
        </w:trPr>
        <w:tc>
          <w:tcPr>
            <w:tcW w:w="6560" w:type="dxa"/>
            <w:vAlign w:val="bottom"/>
            <w:tcBorders>
              <w:bottom w:val="single" w:sz="8" w:color="CCEEFF"/>
            </w:tcBorders>
          </w:tcPr>
          <w:p>
            <w:pPr>
              <w:ind w:left="320"/>
              <w:spacing w:after="0" w:line="155" w:lineRule="exact"/>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720,525</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659,155</w:t>
            </w:r>
          </w:p>
        </w:tc>
      </w:tr>
      <w:tr>
        <w:trPr>
          <w:trHeight w:val="155"/>
        </w:trPr>
        <w:tc>
          <w:tcPr>
            <w:tcW w:w="656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1,055,535</w:t>
            </w:r>
          </w:p>
        </w:tc>
        <w:tc>
          <w:tcPr>
            <w:tcW w:w="1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999,200</w:t>
            </w:r>
          </w:p>
        </w:tc>
      </w:tr>
      <w:tr>
        <w:trPr>
          <w:trHeight w:val="20"/>
        </w:trPr>
        <w:tc>
          <w:tcPr>
            <w:tcW w:w="6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60" w:right="79"/>
        <w:spacing w:after="0" w:line="250" w:lineRule="auto"/>
        <w:rPr>
          <w:sz w:val="20"/>
          <w:szCs w:val="20"/>
          <w:color w:val="auto"/>
        </w:rPr>
      </w:pPr>
      <w:r>
        <w:rPr>
          <w:rFonts w:ascii="Arial" w:cs="Arial" w:eastAsia="Arial" w:hAnsi="Arial"/>
          <w:sz w:val="18"/>
          <w:szCs w:val="18"/>
          <w:b w:val="1"/>
          <w:bCs w:val="1"/>
          <w:color w:val="auto"/>
        </w:rPr>
        <w:t>HARMONY BIOSCIENCES HOLDINGS, INC. AND SUBSIDIARIES UNAUDITED CONDENSED CONSOLIDATED STATEMENTS OF OPERATIONS AND COMPREHENSIVE INCOME (In thousands, except share and per share data)</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46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651"/>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product revenue</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184,733</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154,615</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sold</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31,994</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27,484</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152,739</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127,131</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34,540</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22,189</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30,711</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27,233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31,243</w:t>
            </w:r>
          </w:p>
        </w:tc>
        <w:tc>
          <w:tcPr>
            <w:tcW w:w="2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25,676</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Pr>
          <w:p>
            <w:pPr>
              <w:ind w:left="420"/>
              <w:spacing w:after="0" w:line="196" w:lineRule="exact"/>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96,494</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75,098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56,245</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52,033</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Other expense, net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(276)</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(3,836)</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(4,535)</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5,044</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4,428</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57,177</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51,785</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(11,617)</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(13,451)</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45,560</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38,334</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Unrealized income (loss) on investments</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45,739</w:t>
            </w: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38,161</w:t>
            </w:r>
          </w:p>
        </w:tc>
        <w:tc>
          <w:tcPr>
            <w:tcW w:w="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540" w:type="dxa"/>
            <w:vAlign w:val="bottom"/>
            <w:gridSpan w:val="2"/>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0.79</w:t>
            </w:r>
          </w:p>
        </w:tc>
        <w:tc>
          <w:tcPr>
            <w:tcW w:w="640" w:type="dxa"/>
            <w:vAlign w:val="bottom"/>
            <w:gridSpan w:val="2"/>
            <w:shd w:val="clear" w:color="auto" w:fill="CCEEFF"/>
          </w:tcPr>
          <w:p>
            <w:pPr>
              <w:jc w:val="right"/>
              <w:ind w:right="247"/>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0.68</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Diluted</w:t>
            </w:r>
          </w:p>
        </w:tc>
        <w:tc>
          <w:tcPr>
            <w:tcW w:w="54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0.78</w:t>
            </w:r>
          </w:p>
        </w:tc>
        <w:tc>
          <w:tcPr>
            <w:tcW w:w="640" w:type="dxa"/>
            <w:vAlign w:val="bottom"/>
            <w:gridSpan w:val="2"/>
          </w:tcPr>
          <w:p>
            <w:pPr>
              <w:jc w:val="right"/>
              <w:ind w:right="247"/>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0.67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66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Weighted average number of shares of common stock</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basic</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57,309,938</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56,771,251</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220"/>
              <w:spacing w:after="0" w:line="183" w:lineRule="exact"/>
              <w:rPr>
                <w:sz w:val="20"/>
                <w:szCs w:val="20"/>
                <w:color w:val="auto"/>
              </w:rPr>
            </w:pPr>
            <w:r>
              <w:rPr>
                <w:rFonts w:ascii="Arial" w:cs="Arial" w:eastAsia="Arial" w:hAnsi="Arial"/>
                <w:sz w:val="18"/>
                <w:szCs w:val="18"/>
                <w:color w:val="auto"/>
              </w:rPr>
              <w:t>Weighted average number of shares of common stock</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660" w:type="dxa"/>
            <w:vAlign w:val="bottom"/>
          </w:tcPr>
          <w:p>
            <w:pPr>
              <w:ind w:left="220"/>
              <w:spacing w:after="0"/>
              <w:rPr>
                <w:sz w:val="20"/>
                <w:szCs w:val="20"/>
                <w:color w:val="auto"/>
              </w:rPr>
            </w:pPr>
            <w:r>
              <w:rPr>
                <w:rFonts w:ascii="Arial" w:cs="Arial" w:eastAsia="Arial" w:hAnsi="Arial"/>
                <w:sz w:val="18"/>
                <w:szCs w:val="18"/>
                <w:color w:val="auto"/>
              </w:rPr>
              <w:t>- diluted</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58,524,566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57,597,627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HARMONY BIOSCIENCES HOLDINGS,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w:t>
      </w:r>
    </w:p>
    <w:p>
      <w:pPr>
        <w:jc w:val="center"/>
        <w:ind w:right="19"/>
        <w:spacing w:after="0" w:line="234" w:lineRule="auto"/>
        <w:rPr>
          <w:sz w:val="20"/>
          <w:szCs w:val="20"/>
          <w:color w:val="auto"/>
        </w:rPr>
      </w:pPr>
      <w:r>
        <w:rPr>
          <w:rFonts w:ascii="Arial" w:cs="Arial" w:eastAsia="Arial" w:hAnsi="Arial"/>
          <w:sz w:val="18"/>
          <w:szCs w:val="18"/>
          <w:b w:val="1"/>
          <w:bCs w:val="1"/>
          <w:color w:val="auto"/>
        </w:rPr>
        <w:t>STATEMENTS OF STOCKHOLDERS’ EQUITY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88"/>
              <w:spacing w:after="0" w:line="155" w:lineRule="exact"/>
              <w:rPr>
                <w:sz w:val="20"/>
                <w:szCs w:val="20"/>
                <w:color w:val="auto"/>
              </w:rPr>
            </w:pPr>
            <w:r>
              <w:rPr>
                <w:rFonts w:ascii="Arial" w:cs="Arial" w:eastAsia="Arial" w:hAnsi="Arial"/>
                <w:sz w:val="14"/>
                <w:szCs w:val="14"/>
                <w:b w:val="1"/>
                <w:bCs w:val="1"/>
                <w:color w:val="auto"/>
              </w:rPr>
              <w:t>equity</w:t>
            </w:r>
          </w:p>
        </w:tc>
      </w:tr>
      <w:tr>
        <w:trPr>
          <w:trHeight w:val="156"/>
        </w:trPr>
        <w:tc>
          <w:tcPr>
            <w:tcW w:w="260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2024</w:t>
            </w:r>
          </w:p>
        </w:tc>
        <w:tc>
          <w:tcPr>
            <w:tcW w:w="2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57,144,887</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1</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656,872</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66</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2,216</w:t>
            </w: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659,155</w:t>
            </w:r>
          </w:p>
        </w:tc>
      </w:tr>
      <w:tr>
        <w:trPr>
          <w:trHeight w:val="162"/>
        </w:trPr>
        <w:tc>
          <w:tcPr>
            <w:tcW w:w="260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45,560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45,560</w:t>
            </w:r>
          </w:p>
        </w:tc>
      </w:tr>
      <w:tr>
        <w:trPr>
          <w:trHeight w:val="162"/>
        </w:trPr>
        <w:tc>
          <w:tcPr>
            <w:tcW w:w="2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gain on investments</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r>
      <w:tr>
        <w:trPr>
          <w:trHeight w:val="153"/>
        </w:trPr>
        <w:tc>
          <w:tcPr>
            <w:tcW w:w="2600" w:type="dxa"/>
            <w:vAlign w:val="bottom"/>
          </w:tcPr>
          <w:p>
            <w:pPr>
              <w:ind w:left="220"/>
              <w:spacing w:after="0" w:line="153" w:lineRule="exact"/>
              <w:rPr>
                <w:sz w:val="20"/>
                <w:szCs w:val="20"/>
                <w:color w:val="auto"/>
              </w:rPr>
            </w:pPr>
            <w:r>
              <w:rPr>
                <w:rFonts w:ascii="Arial" w:cs="Arial" w:eastAsia="Arial" w:hAnsi="Arial"/>
                <w:sz w:val="14"/>
                <w:szCs w:val="14"/>
                <w:color w:val="auto"/>
              </w:rPr>
              <w:t>Exercise of options and restricted</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1"/>
        </w:trPr>
        <w:tc>
          <w:tcPr>
            <w:tcW w:w="2600" w:type="dxa"/>
            <w:vAlign w:val="bottom"/>
          </w:tcPr>
          <w:p>
            <w:pPr>
              <w:ind w:left="220"/>
              <w:spacing w:after="0"/>
              <w:rPr>
                <w:sz w:val="20"/>
                <w:szCs w:val="20"/>
                <w:color w:val="auto"/>
              </w:rPr>
            </w:pPr>
            <w:r>
              <w:rPr>
                <w:rFonts w:ascii="Arial" w:cs="Arial" w:eastAsia="Arial" w:hAnsi="Arial"/>
                <w:sz w:val="14"/>
                <w:szCs w:val="14"/>
                <w:color w:val="auto"/>
              </w:rPr>
              <w:t>stock units</w:t>
            </w:r>
          </w:p>
        </w:tc>
        <w:tc>
          <w:tcPr>
            <w:tcW w:w="1020" w:type="dxa"/>
            <w:vAlign w:val="bottom"/>
            <w:gridSpan w:val="3"/>
          </w:tcPr>
          <w:p>
            <w:pPr>
              <w:jc w:val="right"/>
              <w:ind w:right="40"/>
              <w:spacing w:after="0"/>
              <w:rPr>
                <w:sz w:val="20"/>
                <w:szCs w:val="20"/>
                <w:color w:val="auto"/>
              </w:rPr>
            </w:pPr>
            <w:r>
              <w:rPr>
                <w:rFonts w:ascii="Arial" w:cs="Arial" w:eastAsia="Arial" w:hAnsi="Arial"/>
                <w:sz w:val="14"/>
                <w:szCs w:val="14"/>
                <w:color w:val="auto"/>
              </w:rPr>
              <w:t>248,786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3,132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3,132</w:t>
            </w:r>
          </w:p>
        </w:tc>
      </w:tr>
      <w:tr>
        <w:trPr>
          <w:trHeight w:val="162"/>
        </w:trPr>
        <w:tc>
          <w:tcPr>
            <w:tcW w:w="2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12,499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12,499</w:t>
            </w:r>
          </w:p>
        </w:tc>
      </w:tr>
      <w:tr>
        <w:trPr>
          <w:trHeight w:val="156"/>
        </w:trPr>
        <w:tc>
          <w:tcPr>
            <w:tcW w:w="2600" w:type="dxa"/>
            <w:vAlign w:val="bottom"/>
          </w:tcPr>
          <w:p>
            <w:pPr>
              <w:ind w:left="20"/>
              <w:spacing w:after="0" w:line="155" w:lineRule="exact"/>
              <w:rPr>
                <w:sz w:val="20"/>
                <w:szCs w:val="20"/>
                <w:color w:val="auto"/>
              </w:rPr>
            </w:pPr>
            <w:r>
              <w:rPr>
                <w:rFonts w:ascii="Arial" w:cs="Arial" w:eastAsia="Arial" w:hAnsi="Arial"/>
                <w:sz w:val="14"/>
                <w:szCs w:val="14"/>
                <w:color w:val="auto"/>
              </w:rPr>
              <w:t>Balance as of March 31, 2025</w:t>
            </w:r>
          </w:p>
        </w:tc>
        <w:tc>
          <w:tcPr>
            <w:tcW w:w="200" w:type="dxa"/>
            <w:vAlign w:val="bottom"/>
          </w:tcPr>
          <w:p>
            <w:pPr>
              <w:spacing w:after="0"/>
              <w:rPr>
                <w:sz w:val="13"/>
                <w:szCs w:val="13"/>
                <w:color w:val="auto"/>
              </w:rPr>
            </w:pPr>
          </w:p>
        </w:tc>
        <w:tc>
          <w:tcPr>
            <w:tcW w:w="82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57,393,673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672,503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245</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47,776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720,525</w:t>
            </w:r>
          </w:p>
        </w:tc>
      </w:tr>
      <w:tr>
        <w:trPr>
          <w:trHeight w:val="20"/>
        </w:trPr>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65"/>
        </w:trPr>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rPr>
              <w:t>Total</w:t>
            </w:r>
          </w:p>
        </w:tc>
      </w:tr>
      <w:tr>
        <w:trPr>
          <w:trHeight w:val="171"/>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comprehensive</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6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8"/>
              </w:rPr>
              <w:t>Shares</w:t>
            </w:r>
          </w:p>
        </w:tc>
        <w:tc>
          <w:tcPr>
            <w:tcW w:w="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(loss) income</w:t>
            </w:r>
          </w:p>
        </w:tc>
        <w:tc>
          <w:tcPr>
            <w:tcW w:w="140" w:type="dxa"/>
            <w:vAlign w:val="bottom"/>
          </w:tcPr>
          <w:p>
            <w:pPr>
              <w:spacing w:after="0"/>
              <w:rPr>
                <w:sz w:val="13"/>
                <w:szCs w:val="13"/>
                <w:color w:val="auto"/>
              </w:rPr>
            </w:pPr>
          </w:p>
        </w:tc>
        <w:tc>
          <w:tcPr>
            <w:tcW w:w="88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rPr>
              <w:t>equity</w:t>
            </w:r>
          </w:p>
        </w:tc>
      </w:tr>
      <w:tr>
        <w:trPr>
          <w:trHeight w:val="156"/>
        </w:trPr>
        <w:tc>
          <w:tcPr>
            <w:tcW w:w="260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2023</w:t>
            </w:r>
          </w:p>
        </w:tc>
        <w:tc>
          <w:tcPr>
            <w:tcW w:w="90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56,769,081</w:t>
            </w: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gridSpan w:val="2"/>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610,266</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(143,277)</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gridSpan w:val="2"/>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466,992</w:t>
            </w:r>
          </w:p>
        </w:tc>
      </w:tr>
      <w:tr>
        <w:trPr>
          <w:trHeight w:val="162"/>
        </w:trPr>
        <w:tc>
          <w:tcPr>
            <w:tcW w:w="260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38,334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38,334</w:t>
            </w:r>
          </w:p>
        </w:tc>
      </w:tr>
      <w:tr>
        <w:trPr>
          <w:trHeight w:val="162"/>
        </w:trPr>
        <w:tc>
          <w:tcPr>
            <w:tcW w:w="2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r>
      <w:tr>
        <w:trPr>
          <w:trHeight w:val="153"/>
        </w:trPr>
        <w:tc>
          <w:tcPr>
            <w:tcW w:w="2600" w:type="dxa"/>
            <w:vAlign w:val="bottom"/>
          </w:tcPr>
          <w:p>
            <w:pPr>
              <w:ind w:left="220"/>
              <w:spacing w:after="0" w:line="153" w:lineRule="exact"/>
              <w:rPr>
                <w:sz w:val="20"/>
                <w:szCs w:val="20"/>
                <w:color w:val="auto"/>
              </w:rPr>
            </w:pPr>
            <w:r>
              <w:rPr>
                <w:rFonts w:ascii="Arial" w:cs="Arial" w:eastAsia="Arial" w:hAnsi="Arial"/>
                <w:sz w:val="14"/>
                <w:szCs w:val="14"/>
                <w:color w:val="auto"/>
              </w:rPr>
              <w:t>Exercise of stock options and</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1"/>
        </w:trPr>
        <w:tc>
          <w:tcPr>
            <w:tcW w:w="2600" w:type="dxa"/>
            <w:vAlign w:val="bottom"/>
          </w:tcPr>
          <w:p>
            <w:pPr>
              <w:ind w:left="220"/>
              <w:spacing w:after="0"/>
              <w:rPr>
                <w:sz w:val="20"/>
                <w:szCs w:val="20"/>
                <w:color w:val="auto"/>
              </w:rPr>
            </w:pPr>
            <w:r>
              <w:rPr>
                <w:rFonts w:ascii="Arial" w:cs="Arial" w:eastAsia="Arial" w:hAnsi="Arial"/>
                <w:sz w:val="14"/>
                <w:szCs w:val="14"/>
                <w:color w:val="auto"/>
              </w:rPr>
              <w:t>restricted stock units</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22,133</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(153)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(153)</w:t>
            </w:r>
          </w:p>
        </w:tc>
      </w:tr>
      <w:tr>
        <w:trPr>
          <w:trHeight w:val="162"/>
        </w:trPr>
        <w:tc>
          <w:tcPr>
            <w:tcW w:w="2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10,394</w:t>
            </w:r>
          </w:p>
        </w:tc>
      </w:tr>
      <w:tr>
        <w:trPr>
          <w:trHeight w:val="155"/>
        </w:trPr>
        <w:tc>
          <w:tcPr>
            <w:tcW w:w="2600" w:type="dxa"/>
            <w:vAlign w:val="bottom"/>
          </w:tcPr>
          <w:p>
            <w:pPr>
              <w:ind w:left="20"/>
              <w:spacing w:after="0" w:line="155" w:lineRule="exact"/>
              <w:rPr>
                <w:sz w:val="20"/>
                <w:szCs w:val="20"/>
                <w:color w:val="auto"/>
              </w:rPr>
            </w:pPr>
            <w:r>
              <w:rPr>
                <w:rFonts w:ascii="Arial" w:cs="Arial" w:eastAsia="Arial" w:hAnsi="Arial"/>
                <w:sz w:val="14"/>
                <w:szCs w:val="14"/>
                <w:color w:val="auto"/>
              </w:rPr>
              <w:t>Balance as of March 31, 2024</w:t>
            </w:r>
          </w:p>
        </w:tc>
        <w:tc>
          <w:tcPr>
            <w:tcW w:w="9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56,791,214</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620,507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(104,943)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515,394</w:t>
            </w:r>
          </w:p>
        </w:tc>
      </w:tr>
      <w:tr>
        <w:trPr>
          <w:trHeight w:val="20"/>
        </w:trPr>
        <w:tc>
          <w:tcPr>
            <w:tcW w:w="2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4060" w:right="379" w:hanging="3045"/>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w:t>
      </w:r>
      <w:r>
        <w:rPr>
          <w:rFonts w:ascii="Arial" w:cs="Arial" w:eastAsia="Arial" w:hAnsi="Arial"/>
          <w:sz w:val="16"/>
          <w:szCs w:val="16"/>
          <w:color w:val="auto"/>
        </w:rPr>
        <w: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1520" w:right="1160"/>
        <w:spacing w:after="0" w:line="257" w:lineRule="auto"/>
        <w:rPr>
          <w:sz w:val="20"/>
          <w:szCs w:val="20"/>
          <w:color w:val="auto"/>
        </w:rPr>
      </w:pPr>
      <w:r>
        <w:rPr>
          <w:rFonts w:ascii="Arial" w:cs="Arial" w:eastAsia="Arial" w:hAnsi="Arial"/>
          <w:sz w:val="18"/>
          <w:szCs w:val="18"/>
          <w:b w:val="1"/>
          <w:bCs w:val="1"/>
          <w:color w:val="auto"/>
        </w:rPr>
        <w:t>HARMONY BIOSCIENCES HOLDINGS, INC. AND SUBSIDIARIES UNAUDITED CONDENSED CONSOLIDATED STATEMENTS OF CASH FLOWS (In thousands, except share and per share data)</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65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3"/>
                <w:szCs w:val="13"/>
                <w:color w:val="auto"/>
              </w:rPr>
            </w:pPr>
          </w:p>
        </w:tc>
      </w:tr>
      <w:tr>
        <w:trPr>
          <w:trHeight w:val="155"/>
        </w:trPr>
        <w:tc>
          <w:tcPr>
            <w:tcW w:w="65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FLOWS FROM OPERATING ACTIVITIES</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5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45,560</w:t>
            </w:r>
          </w:p>
        </w:tc>
        <w:tc>
          <w:tcPr>
            <w:tcW w:w="2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38,334</w:t>
            </w:r>
          </w:p>
        </w:tc>
        <w:tc>
          <w:tcPr>
            <w:tcW w:w="20" w:type="dxa"/>
            <w:vAlign w:val="bottom"/>
          </w:tcPr>
          <w:p>
            <w:pPr>
              <w:spacing w:after="0"/>
              <w:rPr>
                <w:sz w:val="14"/>
                <w:szCs w:val="14"/>
                <w:color w:val="auto"/>
              </w:rPr>
            </w:pPr>
          </w:p>
        </w:tc>
      </w:tr>
      <w:tr>
        <w:trPr>
          <w:trHeight w:val="162"/>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Adjustments to reconcile net income to net cash used in operating activities:</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652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163</w:t>
            </w:r>
          </w:p>
        </w:tc>
        <w:tc>
          <w:tcPr>
            <w:tcW w:w="20" w:type="dxa"/>
            <w:vAlign w:val="bottom"/>
          </w:tcPr>
          <w:p>
            <w:pPr>
              <w:spacing w:after="0"/>
              <w:rPr>
                <w:sz w:val="14"/>
                <w:szCs w:val="14"/>
                <w:color w:val="auto"/>
              </w:rPr>
            </w:pPr>
          </w:p>
        </w:tc>
      </w:tr>
      <w:tr>
        <w:trPr>
          <w:trHeight w:val="16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amortization</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5,961</w:t>
            </w:r>
          </w:p>
        </w:tc>
        <w:tc>
          <w:tcPr>
            <w:tcW w:w="20" w:type="dxa"/>
            <w:vAlign w:val="bottom"/>
          </w:tcPr>
          <w:p>
            <w:pPr>
              <w:spacing w:after="0"/>
              <w:rPr>
                <w:sz w:val="14"/>
                <w:szCs w:val="14"/>
                <w:color w:val="auto"/>
              </w:rPr>
            </w:pPr>
          </w:p>
        </w:tc>
      </w:tr>
      <w:tr>
        <w:trPr>
          <w:trHeight w:val="162"/>
        </w:trPr>
        <w:tc>
          <w:tcPr>
            <w:tcW w:w="6520" w:type="dxa"/>
            <w:vAlign w:val="bottom"/>
          </w:tcPr>
          <w:p>
            <w:pPr>
              <w:ind w:left="220"/>
              <w:spacing w:after="0"/>
              <w:rPr>
                <w:sz w:val="20"/>
                <w:szCs w:val="20"/>
                <w:color w:val="auto"/>
              </w:rPr>
            </w:pPr>
            <w:r>
              <w:rPr>
                <w:rFonts w:ascii="Arial" w:cs="Arial" w:eastAsia="Arial" w:hAnsi="Arial"/>
                <w:sz w:val="14"/>
                <w:szCs w:val="14"/>
                <w:color w:val="auto"/>
              </w:rPr>
              <w:t>Stock-based and employee stock purchase compensation expense</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12,499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10,394</w:t>
            </w:r>
          </w:p>
        </w:tc>
        <w:tc>
          <w:tcPr>
            <w:tcW w:w="20" w:type="dxa"/>
            <w:vAlign w:val="bottom"/>
          </w:tcPr>
          <w:p>
            <w:pPr>
              <w:spacing w:after="0"/>
              <w:rPr>
                <w:sz w:val="14"/>
                <w:szCs w:val="14"/>
                <w:color w:val="auto"/>
              </w:rPr>
            </w:pPr>
          </w:p>
        </w:tc>
      </w:tr>
      <w:tr>
        <w:trPr>
          <w:trHeight w:val="16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appreciation rights market adjustment</w:t>
            </w: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4"/>
                <w:szCs w:val="14"/>
                <w:color w:val="auto"/>
              </w:rPr>
            </w:pPr>
          </w:p>
        </w:tc>
      </w:tr>
      <w:tr>
        <w:trPr>
          <w:trHeight w:val="162"/>
        </w:trPr>
        <w:tc>
          <w:tcPr>
            <w:tcW w:w="6520" w:type="dxa"/>
            <w:vAlign w:val="bottom"/>
          </w:tcPr>
          <w:p>
            <w:pPr>
              <w:ind w:left="220"/>
              <w:spacing w:after="0"/>
              <w:rPr>
                <w:sz w:val="20"/>
                <w:szCs w:val="20"/>
                <w:color w:val="auto"/>
              </w:rPr>
            </w:pPr>
            <w:r>
              <w:rPr>
                <w:rFonts w:ascii="Arial" w:cs="Arial" w:eastAsia="Arial" w:hAnsi="Arial"/>
                <w:sz w:val="14"/>
                <w:szCs w:val="14"/>
                <w:color w:val="auto"/>
              </w:rPr>
              <w:t>Debt issuance costs amortization</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180</w:t>
            </w:r>
          </w:p>
        </w:tc>
        <w:tc>
          <w:tcPr>
            <w:tcW w:w="20" w:type="dxa"/>
            <w:vAlign w:val="bottom"/>
          </w:tcPr>
          <w:p>
            <w:pPr>
              <w:spacing w:after="0"/>
              <w:rPr>
                <w:sz w:val="14"/>
                <w:szCs w:val="14"/>
                <w:color w:val="auto"/>
              </w:rPr>
            </w:pPr>
          </w:p>
        </w:tc>
      </w:tr>
      <w:tr>
        <w:trPr>
          <w:trHeight w:val="16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taxes</w:t>
            </w: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(4,311)</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(3,477)</w:t>
            </w:r>
          </w:p>
        </w:tc>
        <w:tc>
          <w:tcPr>
            <w:tcW w:w="20" w:type="dxa"/>
            <w:vAlign w:val="bottom"/>
          </w:tcPr>
          <w:p>
            <w:pPr>
              <w:spacing w:after="0"/>
              <w:rPr>
                <w:sz w:val="14"/>
                <w:szCs w:val="14"/>
                <w:color w:val="auto"/>
              </w:rPr>
            </w:pPr>
          </w:p>
        </w:tc>
      </w:tr>
      <w:tr>
        <w:trPr>
          <w:trHeight w:val="162"/>
        </w:trPr>
        <w:tc>
          <w:tcPr>
            <w:tcW w:w="6520" w:type="dxa"/>
            <w:vAlign w:val="bottom"/>
          </w:tcPr>
          <w:p>
            <w:pPr>
              <w:ind w:left="220"/>
              <w:spacing w:after="0"/>
              <w:rPr>
                <w:sz w:val="20"/>
                <w:szCs w:val="20"/>
                <w:color w:val="auto"/>
              </w:rPr>
            </w:pPr>
            <w:r>
              <w:rPr>
                <w:rFonts w:ascii="Arial" w:cs="Arial" w:eastAsia="Arial" w:hAnsi="Arial"/>
                <w:sz w:val="14"/>
                <w:szCs w:val="14"/>
                <w:color w:val="auto"/>
              </w:rPr>
              <w:t>Amortization of premiums and accretion of discounts on Investment securities</w:t>
            </w:r>
          </w:p>
        </w:tc>
        <w:tc>
          <w:tcPr>
            <w:tcW w:w="10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(451)</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(594)</w:t>
            </w:r>
          </w:p>
        </w:tc>
        <w:tc>
          <w:tcPr>
            <w:tcW w:w="20" w:type="dxa"/>
            <w:vAlign w:val="bottom"/>
          </w:tcPr>
          <w:p>
            <w:pPr>
              <w:spacing w:after="0"/>
              <w:rPr>
                <w:sz w:val="14"/>
                <w:szCs w:val="14"/>
                <w:color w:val="auto"/>
              </w:rPr>
            </w:pPr>
          </w:p>
        </w:tc>
      </w:tr>
      <w:tr>
        <w:trPr>
          <w:trHeight w:val="16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non-cash expenses</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20" w:type="dxa"/>
            <w:vAlign w:val="bottom"/>
          </w:tcPr>
          <w:p>
            <w:pPr>
              <w:spacing w:after="0"/>
              <w:rPr>
                <w:sz w:val="14"/>
                <w:szCs w:val="14"/>
                <w:color w:val="auto"/>
              </w:rPr>
            </w:pPr>
          </w:p>
        </w:tc>
      </w:tr>
      <w:tr>
        <w:trPr>
          <w:trHeight w:val="162"/>
        </w:trPr>
        <w:tc>
          <w:tcPr>
            <w:tcW w:w="6520" w:type="dxa"/>
            <w:vAlign w:val="bottom"/>
          </w:tcPr>
          <w:p>
            <w:pPr>
              <w:ind w:left="20"/>
              <w:spacing w:after="0"/>
              <w:rPr>
                <w:sz w:val="20"/>
                <w:szCs w:val="20"/>
                <w:color w:val="auto"/>
              </w:rPr>
            </w:pPr>
            <w:r>
              <w:rPr>
                <w:rFonts w:ascii="Arial" w:cs="Arial" w:eastAsia="Arial" w:hAnsi="Arial"/>
                <w:sz w:val="14"/>
                <w:szCs w:val="14"/>
                <w:color w:val="auto"/>
              </w:rPr>
              <w:t>Change in operating assets and liabilities:</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w:t>
            </w: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(22,936)</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(5,579)</w:t>
            </w:r>
          </w:p>
        </w:tc>
        <w:tc>
          <w:tcPr>
            <w:tcW w:w="20" w:type="dxa"/>
            <w:vAlign w:val="bottom"/>
          </w:tcPr>
          <w:p>
            <w:pPr>
              <w:spacing w:after="0"/>
              <w:rPr>
                <w:sz w:val="14"/>
                <w:szCs w:val="14"/>
                <w:color w:val="auto"/>
              </w:rPr>
            </w:pPr>
          </w:p>
        </w:tc>
      </w:tr>
      <w:tr>
        <w:trPr>
          <w:trHeight w:val="162"/>
        </w:trPr>
        <w:tc>
          <w:tcPr>
            <w:tcW w:w="6520" w:type="dxa"/>
            <w:vAlign w:val="bottom"/>
          </w:tcPr>
          <w:p>
            <w:pPr>
              <w:ind w:left="220"/>
              <w:spacing w:after="0"/>
              <w:rPr>
                <w:sz w:val="20"/>
                <w:szCs w:val="20"/>
                <w:color w:val="auto"/>
              </w:rPr>
            </w:pPr>
            <w:r>
              <w:rPr>
                <w:rFonts w:ascii="Arial" w:cs="Arial" w:eastAsia="Arial" w:hAnsi="Arial"/>
                <w:sz w:val="14"/>
                <w:szCs w:val="14"/>
                <w:color w:val="auto"/>
              </w:rPr>
              <w:t>Inventory</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814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(494)</w:t>
            </w:r>
          </w:p>
        </w:tc>
        <w:tc>
          <w:tcPr>
            <w:tcW w:w="20" w:type="dxa"/>
            <w:vAlign w:val="bottom"/>
          </w:tcPr>
          <w:p>
            <w:pPr>
              <w:spacing w:after="0"/>
              <w:rPr>
                <w:sz w:val="14"/>
                <w:szCs w:val="14"/>
                <w:color w:val="auto"/>
              </w:rPr>
            </w:pPr>
          </w:p>
        </w:tc>
      </w:tr>
      <w:tr>
        <w:trPr>
          <w:trHeight w:val="16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assets</w:t>
            </w: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(1,999)</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(3,439)</w:t>
            </w:r>
          </w:p>
        </w:tc>
        <w:tc>
          <w:tcPr>
            <w:tcW w:w="20" w:type="dxa"/>
            <w:vAlign w:val="bottom"/>
          </w:tcPr>
          <w:p>
            <w:pPr>
              <w:spacing w:after="0"/>
              <w:rPr>
                <w:sz w:val="14"/>
                <w:szCs w:val="14"/>
                <w:color w:val="auto"/>
              </w:rPr>
            </w:pPr>
          </w:p>
        </w:tc>
      </w:tr>
      <w:tr>
        <w:trPr>
          <w:trHeight w:val="162"/>
        </w:trPr>
        <w:tc>
          <w:tcPr>
            <w:tcW w:w="6520" w:type="dxa"/>
            <w:vAlign w:val="bottom"/>
          </w:tcPr>
          <w:p>
            <w:pPr>
              <w:ind w:left="220"/>
              <w:spacing w:after="0"/>
              <w:rPr>
                <w:sz w:val="20"/>
                <w:szCs w:val="20"/>
                <w:color w:val="auto"/>
              </w:rPr>
            </w:pPr>
            <w:r>
              <w:rPr>
                <w:rFonts w:ascii="Arial" w:cs="Arial" w:eastAsia="Arial" w:hAnsi="Arial"/>
                <w:sz w:val="14"/>
                <w:szCs w:val="14"/>
                <w:color w:val="auto"/>
              </w:rPr>
              <w:t>Trade payables</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3,715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(2,586)</w:t>
            </w:r>
          </w:p>
        </w:tc>
        <w:tc>
          <w:tcPr>
            <w:tcW w:w="20" w:type="dxa"/>
            <w:vAlign w:val="bottom"/>
          </w:tcPr>
          <w:p>
            <w:pPr>
              <w:spacing w:after="0"/>
              <w:rPr>
                <w:sz w:val="14"/>
                <w:szCs w:val="14"/>
                <w:color w:val="auto"/>
              </w:rPr>
            </w:pPr>
          </w:p>
        </w:tc>
      </w:tr>
      <w:tr>
        <w:trPr>
          <w:trHeight w:val="16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liabilities</w:t>
            </w: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(5,456)</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(8,229)</w:t>
            </w:r>
          </w:p>
        </w:tc>
        <w:tc>
          <w:tcPr>
            <w:tcW w:w="20" w:type="dxa"/>
            <w:vAlign w:val="bottom"/>
          </w:tcPr>
          <w:p>
            <w:pPr>
              <w:spacing w:after="0"/>
              <w:rPr>
                <w:sz w:val="14"/>
                <w:szCs w:val="14"/>
                <w:color w:val="auto"/>
              </w:rPr>
            </w:pPr>
          </w:p>
        </w:tc>
      </w:tr>
      <w:tr>
        <w:trPr>
          <w:trHeight w:val="155"/>
        </w:trPr>
        <w:tc>
          <w:tcPr>
            <w:tcW w:w="652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33,987</w:t>
            </w:r>
          </w:p>
        </w:tc>
        <w:tc>
          <w:tcPr>
            <w:tcW w:w="2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31,141</w:t>
            </w:r>
          </w:p>
        </w:tc>
        <w:tc>
          <w:tcPr>
            <w:tcW w:w="20" w:type="dxa"/>
            <w:vAlign w:val="bottom"/>
          </w:tcPr>
          <w:p>
            <w:pPr>
              <w:spacing w:after="0"/>
              <w:rPr>
                <w:sz w:val="13"/>
                <w:szCs w:val="13"/>
                <w:color w:val="auto"/>
              </w:rPr>
            </w:pPr>
          </w:p>
        </w:tc>
      </w:tr>
      <w:tr>
        <w:trPr>
          <w:trHeight w:val="156"/>
        </w:trPr>
        <w:tc>
          <w:tcPr>
            <w:tcW w:w="65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520" w:type="dxa"/>
            <w:vAlign w:val="bottom"/>
          </w:tcPr>
          <w:p>
            <w:pPr>
              <w:ind w:left="220"/>
              <w:spacing w:after="0"/>
              <w:rPr>
                <w:sz w:val="20"/>
                <w:szCs w:val="20"/>
                <w:color w:val="auto"/>
              </w:rPr>
            </w:pPr>
            <w:r>
              <w:rPr>
                <w:rFonts w:ascii="Arial" w:cs="Arial" w:eastAsia="Arial" w:hAnsi="Arial"/>
                <w:sz w:val="14"/>
                <w:szCs w:val="14"/>
                <w:color w:val="auto"/>
              </w:rPr>
              <w:t>Purchase of investment securities</w:t>
            </w:r>
          </w:p>
        </w:tc>
        <w:tc>
          <w:tcPr>
            <w:tcW w:w="10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(19,132)</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(25,106)</w:t>
            </w:r>
          </w:p>
        </w:tc>
        <w:tc>
          <w:tcPr>
            <w:tcW w:w="20" w:type="dxa"/>
            <w:vAlign w:val="bottom"/>
          </w:tcPr>
          <w:p>
            <w:pPr>
              <w:spacing w:after="0"/>
              <w:rPr>
                <w:sz w:val="14"/>
                <w:szCs w:val="14"/>
                <w:color w:val="auto"/>
              </w:rPr>
            </w:pPr>
          </w:p>
        </w:tc>
      </w:tr>
      <w:tr>
        <w:trPr>
          <w:trHeight w:val="16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maturities and sales of investment securities</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21,622</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18,925</w:t>
            </w:r>
          </w:p>
        </w:tc>
        <w:tc>
          <w:tcPr>
            <w:tcW w:w="20" w:type="dxa"/>
            <w:vAlign w:val="bottom"/>
          </w:tcPr>
          <w:p>
            <w:pPr>
              <w:spacing w:after="0"/>
              <w:rPr>
                <w:sz w:val="14"/>
                <w:szCs w:val="14"/>
                <w:color w:val="auto"/>
              </w:rPr>
            </w:pPr>
          </w:p>
        </w:tc>
      </w:tr>
      <w:tr>
        <w:trPr>
          <w:trHeight w:val="162"/>
        </w:trPr>
        <w:tc>
          <w:tcPr>
            <w:tcW w:w="6520" w:type="dxa"/>
            <w:vAlign w:val="bottom"/>
          </w:tcPr>
          <w:p>
            <w:pPr>
              <w:ind w:left="220"/>
              <w:spacing w:after="0"/>
              <w:rPr>
                <w:sz w:val="20"/>
                <w:szCs w:val="20"/>
                <w:color w:val="auto"/>
              </w:rPr>
            </w:pPr>
            <w:r>
              <w:rPr>
                <w:rFonts w:ascii="Arial" w:cs="Arial" w:eastAsia="Arial" w:hAnsi="Arial"/>
                <w:sz w:val="14"/>
                <w:szCs w:val="14"/>
                <w:color w:val="auto"/>
              </w:rPr>
              <w:t>Purchase of property and equipment</w:t>
            </w:r>
          </w:p>
        </w:tc>
        <w:tc>
          <w:tcPr>
            <w:tcW w:w="10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(128)</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4"/>
                <w:szCs w:val="14"/>
                <w:color w:val="auto"/>
              </w:rPr>
            </w:pPr>
          </w:p>
        </w:tc>
      </w:tr>
      <w:tr>
        <w:trPr>
          <w:trHeight w:val="155"/>
        </w:trPr>
        <w:tc>
          <w:tcPr>
            <w:tcW w:w="65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2,362</w:t>
            </w: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(6,186)</w:t>
            </w:r>
          </w:p>
        </w:tc>
        <w:tc>
          <w:tcPr>
            <w:tcW w:w="20" w:type="dxa"/>
            <w:vAlign w:val="bottom"/>
          </w:tcPr>
          <w:p>
            <w:pPr>
              <w:spacing w:after="0"/>
              <w:rPr>
                <w:sz w:val="13"/>
                <w:szCs w:val="13"/>
                <w:color w:val="auto"/>
              </w:rPr>
            </w:pPr>
          </w:p>
        </w:tc>
      </w:tr>
      <w:tr>
        <w:trPr>
          <w:trHeight w:val="155"/>
        </w:trPr>
        <w:tc>
          <w:tcPr>
            <w:tcW w:w="6520" w:type="dxa"/>
            <w:vAlign w:val="bottom"/>
          </w:tcPr>
          <w:p>
            <w:pPr>
              <w:ind w:left="20"/>
              <w:spacing w:after="0" w:line="155" w:lineRule="exact"/>
              <w:rPr>
                <w:sz w:val="20"/>
                <w:szCs w:val="20"/>
                <w:color w:val="auto"/>
              </w:rPr>
            </w:pPr>
            <w:r>
              <w:rPr>
                <w:rFonts w:ascii="Arial" w:cs="Arial" w:eastAsia="Arial" w:hAnsi="Arial"/>
                <w:sz w:val="14"/>
                <w:szCs w:val="14"/>
                <w:color w:val="auto"/>
              </w:rPr>
              <w:t>CASH FLOWS FROM FINANCING ACTIVITIES:</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Principal repayment of long-term debt</w:t>
            </w: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(3,750)</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w:t>
            </w:r>
          </w:p>
        </w:tc>
        <w:tc>
          <w:tcPr>
            <w:tcW w:w="20" w:type="dxa"/>
            <w:vAlign w:val="bottom"/>
          </w:tcPr>
          <w:p>
            <w:pPr>
              <w:spacing w:after="0"/>
              <w:rPr>
                <w:sz w:val="14"/>
                <w:szCs w:val="14"/>
                <w:color w:val="auto"/>
              </w:rPr>
            </w:pPr>
          </w:p>
        </w:tc>
      </w:tr>
      <w:tr>
        <w:trPr>
          <w:trHeight w:val="162"/>
        </w:trPr>
        <w:tc>
          <w:tcPr>
            <w:tcW w:w="6520" w:type="dxa"/>
            <w:vAlign w:val="bottom"/>
          </w:tcPr>
          <w:p>
            <w:pPr>
              <w:ind w:left="220"/>
              <w:spacing w:after="0"/>
              <w:rPr>
                <w:sz w:val="20"/>
                <w:szCs w:val="20"/>
                <w:color w:val="auto"/>
              </w:rPr>
            </w:pPr>
            <w:r>
              <w:rPr>
                <w:rFonts w:ascii="Arial" w:cs="Arial" w:eastAsia="Arial" w:hAnsi="Arial"/>
                <w:sz w:val="14"/>
                <w:szCs w:val="14"/>
                <w:color w:val="auto"/>
              </w:rPr>
              <w:t>Payments of employee withholding taxes related to stock-based awards</w:t>
            </w:r>
          </w:p>
        </w:tc>
        <w:tc>
          <w:tcPr>
            <w:tcW w:w="10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(1,308)</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exercised options</w:t>
            </w:r>
          </w:p>
        </w:tc>
        <w:tc>
          <w:tcPr>
            <w:tcW w:w="1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4,706</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20" w:type="dxa"/>
            <w:vAlign w:val="bottom"/>
          </w:tcPr>
          <w:p>
            <w:pPr>
              <w:spacing w:after="0"/>
              <w:rPr>
                <w:sz w:val="14"/>
                <w:szCs w:val="14"/>
                <w:color w:val="auto"/>
              </w:rPr>
            </w:pPr>
          </w:p>
        </w:tc>
      </w:tr>
      <w:tr>
        <w:trPr>
          <w:trHeight w:val="155"/>
        </w:trPr>
        <w:tc>
          <w:tcPr>
            <w:tcW w:w="652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cash used in financing activities</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(352)</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(3,634)</w:t>
            </w:r>
          </w:p>
        </w:tc>
        <w:tc>
          <w:tcPr>
            <w:tcW w:w="20" w:type="dxa"/>
            <w:vAlign w:val="bottom"/>
          </w:tcPr>
          <w:p>
            <w:pPr>
              <w:spacing w:after="0"/>
              <w:rPr>
                <w:sz w:val="13"/>
                <w:szCs w:val="13"/>
                <w:color w:val="auto"/>
              </w:rPr>
            </w:pPr>
          </w:p>
        </w:tc>
      </w:tr>
      <w:tr>
        <w:trPr>
          <w:trHeight w:val="156"/>
        </w:trPr>
        <w:tc>
          <w:tcPr>
            <w:tcW w:w="65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INCREASE IN CASH, CASH EQUIVALENTS, AND RESTRICTED CASH</w:t>
            </w:r>
          </w:p>
        </w:tc>
        <w:tc>
          <w:tcPr>
            <w:tcW w:w="1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35,997</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21,321</w:t>
            </w:r>
          </w:p>
        </w:tc>
        <w:tc>
          <w:tcPr>
            <w:tcW w:w="20" w:type="dxa"/>
            <w:vAlign w:val="bottom"/>
          </w:tcPr>
          <w:p>
            <w:pPr>
              <w:spacing w:after="0"/>
              <w:rPr>
                <w:sz w:val="13"/>
                <w:szCs w:val="13"/>
                <w:color w:val="auto"/>
              </w:rPr>
            </w:pPr>
          </w:p>
        </w:tc>
      </w:tr>
      <w:tr>
        <w:trPr>
          <w:trHeight w:val="155"/>
        </w:trPr>
        <w:tc>
          <w:tcPr>
            <w:tcW w:w="652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CASH, CASH EQUIVALENTS, AND RESTRICTED CASH—Beginning of period</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453,271</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311,930</w:t>
            </w:r>
          </w:p>
        </w:tc>
        <w:tc>
          <w:tcPr>
            <w:tcW w:w="20" w:type="dxa"/>
            <w:vAlign w:val="bottom"/>
          </w:tcPr>
          <w:p>
            <w:pPr>
              <w:spacing w:after="0"/>
              <w:rPr>
                <w:sz w:val="13"/>
                <w:szCs w:val="13"/>
                <w:color w:val="auto"/>
              </w:rPr>
            </w:pPr>
          </w:p>
        </w:tc>
      </w:tr>
      <w:tr>
        <w:trPr>
          <w:trHeight w:val="155"/>
        </w:trPr>
        <w:tc>
          <w:tcPr>
            <w:tcW w:w="65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CASH EQUIVALENTS, AND RESTRICTED CASH—End of period</w:t>
            </w: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489,268</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333,251</w:t>
            </w:r>
          </w:p>
        </w:tc>
        <w:tc>
          <w:tcPr>
            <w:tcW w:w="20" w:type="dxa"/>
            <w:vAlign w:val="bottom"/>
          </w:tcPr>
          <w:p>
            <w:pPr>
              <w:spacing w:after="0"/>
              <w:rPr>
                <w:sz w:val="13"/>
                <w:szCs w:val="13"/>
                <w:color w:val="auto"/>
              </w:rPr>
            </w:pPr>
          </w:p>
        </w:tc>
      </w:tr>
      <w:tr>
        <w:trPr>
          <w:trHeight w:val="155"/>
        </w:trPr>
        <w:tc>
          <w:tcPr>
            <w:tcW w:w="6520" w:type="dxa"/>
            <w:vAlign w:val="bottom"/>
          </w:tcPr>
          <w:p>
            <w:pPr>
              <w:ind w:left="20"/>
              <w:spacing w:after="0" w:line="155" w:lineRule="exact"/>
              <w:rPr>
                <w:sz w:val="20"/>
                <w:szCs w:val="20"/>
                <w:color w:val="auto"/>
              </w:rPr>
            </w:pPr>
            <w:r>
              <w:rPr>
                <w:rFonts w:ascii="Arial" w:cs="Arial" w:eastAsia="Arial" w:hAnsi="Arial"/>
                <w:sz w:val="14"/>
                <w:szCs w:val="14"/>
                <w:color w:val="auto"/>
              </w:rPr>
              <w:t>Supplemental Disclosure of Cash Flow Information:</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during the year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4,197</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4,585</w:t>
            </w:r>
          </w:p>
        </w:tc>
        <w:tc>
          <w:tcPr>
            <w:tcW w:w="20" w:type="dxa"/>
            <w:vAlign w:val="bottom"/>
          </w:tcPr>
          <w:p>
            <w:pPr>
              <w:spacing w:after="0"/>
              <w:rPr>
                <w:sz w:val="14"/>
                <w:szCs w:val="14"/>
                <w:color w:val="auto"/>
              </w:rPr>
            </w:pPr>
          </w:p>
        </w:tc>
      </w:tr>
      <w:tr>
        <w:trPr>
          <w:trHeight w:val="190"/>
        </w:trPr>
        <w:tc>
          <w:tcPr>
            <w:tcW w:w="6520" w:type="dxa"/>
            <w:vAlign w:val="bottom"/>
          </w:tcPr>
          <w:p>
            <w:pPr>
              <w:ind w:left="220"/>
              <w:spacing w:after="0"/>
              <w:rPr>
                <w:sz w:val="20"/>
                <w:szCs w:val="20"/>
                <w:color w:val="auto"/>
              </w:rPr>
            </w:pPr>
            <w:r>
              <w:rPr>
                <w:rFonts w:ascii="Arial" w:cs="Arial" w:eastAsia="Arial" w:hAnsi="Arial"/>
                <w:sz w:val="14"/>
                <w:szCs w:val="14"/>
                <w:color w:val="auto"/>
              </w:rPr>
              <w:t>Cash paid during the year for taxes</w:t>
            </w:r>
          </w:p>
        </w:tc>
        <w:tc>
          <w:tcPr>
            <w:tcW w:w="100" w:type="dxa"/>
            <w:vAlign w:val="bottom"/>
          </w:tcPr>
          <w:p>
            <w:pPr>
              <w:spacing w:after="0"/>
              <w:rPr>
                <w:sz w:val="16"/>
                <w:szCs w:val="16"/>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r>
    </w:tbl>
    <w:p>
      <w:pPr>
        <w:spacing w:after="0" w:line="155"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50" w:right="70"/>
        <w:spacing w:after="0" w:line="257" w:lineRule="auto"/>
        <w:rPr>
          <w:sz w:val="20"/>
          <w:szCs w:val="20"/>
          <w:color w:val="auto"/>
        </w:rPr>
      </w:pPr>
      <w:r>
        <w:rPr>
          <w:rFonts w:ascii="Arial" w:cs="Arial" w:eastAsia="Arial" w:hAnsi="Arial"/>
          <w:sz w:val="18"/>
          <w:szCs w:val="18"/>
          <w:b w:val="1"/>
          <w:bCs w:val="1"/>
          <w:color w:val="auto"/>
        </w:rPr>
        <w:t>HARMONY BIOSCIENCES HOLDINGS, INC. AND SUBSIDIARIES NOTES TO UNAUDITED CONDENSED CONSOLIDATED FINANCIAL STATEMENTS (In thousands, except share and per share data)</w:t>
      </w:r>
    </w:p>
    <w:p>
      <w:pPr>
        <w:spacing w:after="0" w:line="159" w:lineRule="exact"/>
        <w:rPr>
          <w:sz w:val="20"/>
          <w:szCs w:val="20"/>
          <w:color w:val="auto"/>
        </w:rPr>
      </w:pPr>
    </w:p>
    <w:p>
      <w:pPr>
        <w:ind w:left="700" w:right="4399" w:hanging="650"/>
        <w:spacing w:after="0" w:line="485" w:lineRule="auto"/>
        <w:tabs>
          <w:tab w:leader="none" w:pos="2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The Company</w:t>
      </w:r>
    </w:p>
    <w:p>
      <w:pPr>
        <w:jc w:val="both"/>
        <w:ind w:left="60" w:right="59" w:firstLine="648"/>
        <w:spacing w:after="0" w:line="242" w:lineRule="auto"/>
        <w:rPr>
          <w:sz w:val="20"/>
          <w:szCs w:val="20"/>
          <w:color w:val="auto"/>
        </w:rPr>
      </w:pPr>
      <w:r>
        <w:rPr>
          <w:rFonts w:ascii="Arial" w:cs="Arial" w:eastAsia="Arial" w:hAnsi="Arial"/>
          <w:sz w:val="18"/>
          <w:szCs w:val="18"/>
          <w:color w:val="auto"/>
        </w:rPr>
        <w:t>Harmony Biosciences Holdings, Inc., and its consolidated subsidiaries (the “Company”), was founded in July 2017 as Harmony Biosciences II, LLC, a Delaware limited liability company. The Company converted to a Delaware corporation named Harmony Biosciences II, Inc. in September 2017 and, in February 2020, the Company changed its name to Harmony Biosciences Holdings, Inc. The Company’s operations are conducted in its wholly owned subsidiaries, Harmony Biosciences, LLC (“Harmony”), and Harmony Biosciences Management, Inc. The Company is headquartered in Plymouth Meeting, Pennsylvania.</w:t>
      </w:r>
    </w:p>
    <w:p>
      <w:pPr>
        <w:spacing w:after="0" w:line="17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is cultivating a differentiated neuroscience company, rooted in innovation and driven by a commitment to addressing the unmet needs of patients living with neurological diseases. To date, we have focused on rare neurological diseases with a growing portfolio now spanning sleep/wake, neurobehavioral, and rare epilepsy, and we are harnessing scientific insights and pioneering approaches to advance meaningful treatments that help patients thrive.</w:t>
      </w:r>
    </w:p>
    <w:p>
      <w:pPr>
        <w:spacing w:after="0" w:line="163" w:lineRule="exact"/>
        <w:rPr>
          <w:sz w:val="20"/>
          <w:szCs w:val="20"/>
          <w:color w:val="auto"/>
        </w:rPr>
      </w:pPr>
    </w:p>
    <w:p>
      <w:pPr>
        <w:jc w:val="both"/>
        <w:ind w:left="60" w:right="59" w:firstLine="648"/>
        <w:spacing w:after="0" w:line="223" w:lineRule="auto"/>
        <w:rPr>
          <w:sz w:val="20"/>
          <w:szCs w:val="20"/>
          <w:color w:val="auto"/>
        </w:rPr>
      </w:pPr>
      <w:r>
        <w:rPr>
          <w:rFonts w:ascii="Arial" w:cs="Arial" w:eastAsia="Arial" w:hAnsi="Arial"/>
          <w:sz w:val="18"/>
          <w:szCs w:val="18"/>
          <w:color w:val="auto"/>
        </w:rPr>
        <w:t>In July 2017, Harmony entered into a License Agreement (the “2017 LCA”) with Bioprojet Société Civile de Recherche (“Bioprojet”) whereby Harmony acquired the exclusive right to commercialize the pharmaceutical compound pitolisant. Our lead product, WAKIX® (pitolisant) (“WAKIX”), is a first-in-class therapy with a novel mechanism of action designed to enhance histamine signaling in the brain by binding to H</w:t>
      </w:r>
      <w:r>
        <w:rPr>
          <w:rFonts w:ascii="Arial" w:cs="Arial" w:eastAsia="Arial" w:hAnsi="Arial"/>
          <w:sz w:val="26"/>
          <w:szCs w:val="26"/>
          <w:color w:val="auto"/>
          <w:vertAlign w:val="subscript"/>
        </w:rPr>
        <w:t>3</w:t>
      </w:r>
      <w:r>
        <w:rPr>
          <w:rFonts w:ascii="Arial" w:cs="Arial" w:eastAsia="Arial" w:hAnsi="Arial"/>
          <w:sz w:val="18"/>
          <w:szCs w:val="18"/>
          <w:color w:val="auto"/>
        </w:rPr>
        <w:t xml:space="preserve"> receptors. Since its</w:t>
      </w:r>
    </w:p>
    <w:p>
      <w:pPr>
        <w:jc w:val="both"/>
        <w:ind w:left="60" w:right="59"/>
        <w:spacing w:after="0" w:line="237" w:lineRule="auto"/>
        <w:rPr>
          <w:sz w:val="20"/>
          <w:szCs w:val="20"/>
          <w:color w:val="auto"/>
        </w:rPr>
      </w:pPr>
      <w:r>
        <w:rPr>
          <w:rFonts w:ascii="Arial" w:cs="Arial" w:eastAsia="Arial" w:hAnsi="Arial"/>
          <w:sz w:val="18"/>
          <w:szCs w:val="18"/>
          <w:color w:val="auto"/>
        </w:rPr>
        <w:t>initial FDA approval in 2019 for excessive daytime sleepiness (“EDS”) in adult patients with narcolepsy, WAKIX has subsequently been approved for cataplexy in adult patients in 2020 and EDS in pediatric patients six years and older in 2024. Beyond narcolepsy, we are also advancing late-stage clinical programs exploring pitolisant in Prader-Willi syndrome (“PWS”) and continue to grow our impact in other rare neurological diseases. In July 2022, we entered into a License and Commercialization Agreement (the “2022 LCA”) with Bioprojet whereby we obtained exclusive rights to manufacture, develop and commercialize one or more next generation pitolisant based products in the United States and Latin America. Two of the next generations formulations, Pitolisant Gastro-Resistant (“Pitolisant GR”) and Pitolisant High-Dose (“Pitolisant HD”) are currently in clinical development.</w:t>
      </w:r>
    </w:p>
    <w:p>
      <w:pPr>
        <w:spacing w:after="0" w:line="167"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Along with nurturing the growth of our original pipeline, our innovation strategy includes targeted business development that strengthens our foundation and strategically extends our patient reach as we look to expand our portfolio to new diseases beyond histaminergic science. In October 2023, the Company completed a tender offer to acquire all of the outstanding shares of common stock of Zynerba Pharmaceuticals, Inc. (together with its subsidiary, Zynerba Pharmaceutical Pty, Ltd., “Zynerba”). Zynerba was a clinical-stage pharmaceutical company focused on innovative, pharmaceutically produced transdermal cannabidiol therapies for orphan neurobehavioral disorders, including Fragile X Syndrome and 22q deletion syndrome. As of July 1, 2024, Zynerba Pharmaceuticals, Inc. was renamed and is known as Harmony Biosciences Management, Inc.</w:t>
      </w:r>
    </w:p>
    <w:p>
      <w:pPr>
        <w:spacing w:after="0" w:line="18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April 2024, we expanded into orexin science through a sublicense agreement with Bioprojet for an orexin 2 receptor agonist (“BP1.15205”) in preclinical development for narcolepsy and other potential indications. Under the sublicense agreement we obtained the exclusive right to develop, manufacture and commercialize BP1.15205 in the United States and Latin American territories, which are rights originally licensed from Teijin Pharma, the innovator of BP1.15205. We further broadened our portfolio into rare epilepsy when the Company acquired all of the issued and outstanding capital stock of Epygenix Therapeutics, Inc. (“Epygenix”) in April 2024. As a result, the Company now has an exclusive license relating to the use of clemizole hydrochloride, initially for the treatment of Dravet Syndrome (“DS”) and Lennox-Gastaut Syndrome (“LGS”), and a liquid formulation of lorcaserin for the treatment of developmental and epileptic encephalopathies.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hanging="210"/>
        <w:spacing w:after="0"/>
        <w:tabs>
          <w:tab w:leader="none" w:pos="2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unaudited condensed consolidated financial statements have been prepared as though the Company will continue as a going concern, which contemplates the realization of assets and satisfaction of liabilities in the normal course of business. The Company had retained earnings of $47,776 and $2,216, as of March 31, 2025, and December 31, 2024, respectively. As of March 31, 2025, the Company had cash, cash equivalents and investments of $610,198.</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believes that its existing cash, cash equivalents and investments on hand as of March 31, 2025, as well as additional cash generated from operating and financing activities will meet its operational liquidity needs and fund potential investing activities for the next twelve months from the date of issuance of these unaudited condensed consolidated financial statements.</w:t>
      </w:r>
    </w:p>
    <w:p>
      <w:pPr>
        <w:spacing w:after="0" w:line="174" w:lineRule="exact"/>
        <w:rPr>
          <w:sz w:val="20"/>
          <w:szCs w:val="20"/>
          <w:color w:val="auto"/>
        </w:rPr>
      </w:pPr>
    </w:p>
    <w:p>
      <w:pPr>
        <w:ind w:left="700" w:right="4179" w:hanging="650"/>
        <w:spacing w:after="0" w:line="485" w:lineRule="auto"/>
        <w:tabs>
          <w:tab w:leader="none" w:pos="2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left="60" w:right="59" w:firstLine="648"/>
        <w:spacing w:after="0" w:line="236" w:lineRule="auto"/>
        <w:rPr>
          <w:sz w:val="20"/>
          <w:szCs w:val="20"/>
          <w:color w:val="auto"/>
        </w:rPr>
      </w:pPr>
      <w:r>
        <w:rPr>
          <w:rFonts w:ascii="Arial" w:cs="Arial" w:eastAsia="Arial" w:hAnsi="Arial"/>
          <w:sz w:val="18"/>
          <w:szCs w:val="18"/>
          <w:color w:val="auto"/>
        </w:rPr>
        <w:t>The unaudited condensed consolidated financial statements have been prepared in conformity with accounting principles generally accepted in the United States of America (“GAAP”) and include all adjustments necessary for the fair presentation of the Company’s financial position for the periods presented. All intercompany accounts and transactions have been eliminated in consolidation. The unaudited condensed consolidated balance sheet as of March 31, 2025, the unaudited condensed consolidated statements of cash flows for the three months ended March 31, 2025, and 2024, and the unaudited condensed consolidated statements of operations and comprehensive income and the unaudited condensed consolidated statements of shareholders’ equity for the three months ended March 31, 2025, and 2024, are unaudited. The balance sheet as of December 31, 2024, was derived from audited financial statements as of and for the year ended December 31, 2024. The unaudited interim condensed consolidated financial statements have been prepared on the same basis as the audited annual financial statements as of and for the year ended December 31, 2024, and, in the opinion of management, reflect all adjustments, which include only normal recurring adjustments, necessary for the fair presentation of the Company’s financial position as of March 31, 2025, and the results of its operations and its cash flows for the three months ended March 31, 2025, and 2024. The unaudited condensed consolidated results of operations are not necessarily indicative of the results that may occur for the full fiscal year. Certain information and disclosures normally included in the financial statements prepared in accordance with GAAP have been condensed or omitted under the SEC’s rules and regulations. These unaudited condensed consolidated financial statements should be read in conjunction with the audited financial statements and accompanying notes thereto contained in the Company’s Annual Report on Form 10-K for the year ended December 31, 2024.</w:t>
      </w:r>
    </w:p>
    <w:p>
      <w:pPr>
        <w:spacing w:after="0" w:line="19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Significant Risks and Uncertainties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clinical trial results of the Company’s product candidates; the Company’s ability to obtain regulatory approval to market its products; competition from products manufactured and sold or being developed by other companies, including generic competition; the price of, and demand for, the Company’s products, if approved; the Company’s ability to negotiate favorable licensing or other manufacturing and marketing agreements for its product candidates.</w:t>
      </w:r>
    </w:p>
    <w:p>
      <w:pPr>
        <w:spacing w:after="0" w:line="17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 currently has one commercially approved product, WAKIX, and there can be no assurance that the Company’s research and development efforts will result in successfully commercialized products in addition to WAKIX.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ectPr>
          <w:pgSz w:w="11900" w:h="16838" w:orient="portrait"/>
          <w:cols w:equalWidth="0" w:num="1">
            <w:col w:w="9019"/>
          </w:cols>
          <w:pgMar w:left="1440" w:top="512"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preparation of financial statements in conformity with GAAP requires the Company to make estimates and assumptions that affect the reported amounts and disclosures in the unaudited condensed consolidated financial statements, including the notes thereto, and elsewhere in this report. Actual results may differ significantly from estimates, which include rebates due pursuant to commercial and government contracts, accrued research and development expenses, stock-based compensation expense and income taxes.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Operating Segments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 has determined it operates in a single operating segment, rare neurological diseases and, therefore, has one reportable segment. The Company holds all its tangible assets, conducts its operations, and generates its revenue in the United States.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Company’s unaudited condensed consolidated financial statements include cash, cash equivalents, restricted cash, accounts payable, and accrued liabilities, all of which are short term in nature and, accordingly, approximate fair value.</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It is the Company’s policy to measure non-financial assets and liabilities at fair value on a nonrecurring basis. These non-financial assets and liabilities are not measured at fair value on an ongoing basis but are subject to fair value adjustments in certain circumstances (such as evidence of impairment), which, if material, are disclosed in the accompanying footnotes.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measures certain assets and liabilities at fair value based on the fair value hierarchy that prioritizes inputs to valuation techniques used to measure fair value into three levels based on the source of inputs as follows:</w:t>
      </w:r>
    </w:p>
    <w:p>
      <w:pPr>
        <w:spacing w:after="0" w:line="169" w:lineRule="exact"/>
        <w:rPr>
          <w:sz w:val="20"/>
          <w:szCs w:val="20"/>
          <w:color w:val="auto"/>
        </w:rPr>
      </w:pPr>
    </w:p>
    <w:p>
      <w:pPr>
        <w:ind w:left="700" w:right="739"/>
        <w:spacing w:after="0" w:line="271" w:lineRule="auto"/>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154" w:lineRule="exact"/>
        <w:rPr>
          <w:sz w:val="20"/>
          <w:szCs w:val="20"/>
          <w:color w:val="auto"/>
        </w:rPr>
      </w:pPr>
    </w:p>
    <w:p>
      <w:pPr>
        <w:ind w:left="700" w:right="199"/>
        <w:spacing w:after="0" w:line="271" w:lineRule="auto"/>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154" w:lineRule="exact"/>
        <w:rPr>
          <w:sz w:val="20"/>
          <w:szCs w:val="20"/>
          <w:color w:val="auto"/>
        </w:rPr>
      </w:pPr>
    </w:p>
    <w:p>
      <w:pPr>
        <w:ind w:left="700" w:right="119"/>
        <w:spacing w:after="0" w:line="271" w:lineRule="auto"/>
        <w:rPr>
          <w:sz w:val="20"/>
          <w:szCs w:val="20"/>
          <w:color w:val="auto"/>
        </w:rPr>
      </w:pPr>
      <w:r>
        <w:rPr>
          <w:rFonts w:ascii="Arial" w:cs="Arial" w:eastAsia="Arial" w:hAnsi="Arial"/>
          <w:sz w:val="18"/>
          <w:szCs w:val="18"/>
          <w:color w:val="auto"/>
        </w:rPr>
        <w:t>Level 3—Valuations based on unobservable inputs and models that are supported by little or no market activity.</w:t>
      </w:r>
    </w:p>
    <w:p>
      <w:pPr>
        <w:spacing w:after="0" w:line="15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 other pricing sources. The Company did not classify any assets or liabilities as Level 3 as of March 31, 2025, or December 31, 2024.</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Cash and cash equivalents and restricted cash consist of cash and, if applicable, highly liquid investments with an original maturity of three months or less when purchased, including investments in money</w:t>
      </w:r>
    </w:p>
    <w:p>
      <w:pPr>
        <w:sectPr>
          <w:pgSz w:w="11900" w:h="16838" w:orient="portrait"/>
          <w:cols w:equalWidth="0" w:num="1">
            <w:col w:w="9019"/>
          </w:cols>
          <w:pgMar w:left="1440" w:top="512" w:right="1440"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market funds and debt securities that approximate fair value. The following table provides a reconciliation of cash, cash equivalents, and restricted cash reported within the balance sheet and the statements of cash flows.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119"/>
              <w:spacing w:after="0" w:line="147"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2"/>
                <w:szCs w:val="12"/>
                <w:color w:val="auto"/>
              </w:rPr>
            </w:pPr>
          </w:p>
        </w:tc>
        <w:tc>
          <w:tcPr>
            <w:tcW w:w="10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488,998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453,001</w:t>
            </w:r>
          </w:p>
        </w:tc>
        <w:tc>
          <w:tcPr>
            <w:tcW w:w="0" w:type="dxa"/>
            <w:vAlign w:val="bottom"/>
          </w:tcPr>
          <w:p>
            <w:pPr>
              <w:spacing w:after="0"/>
              <w:rPr>
                <w:sz w:val="1"/>
                <w:szCs w:val="1"/>
                <w:color w:val="auto"/>
              </w:rPr>
            </w:pPr>
          </w:p>
        </w:tc>
      </w:tr>
      <w:tr>
        <w:trPr>
          <w:trHeight w:val="203"/>
        </w:trPr>
        <w:tc>
          <w:tcPr>
            <w:tcW w:w="6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164"/>
        </w:trPr>
        <w:tc>
          <w:tcPr>
            <w:tcW w:w="6340" w:type="dxa"/>
            <w:vAlign w:val="bottom"/>
            <w:shd w:val="clear" w:color="auto" w:fill="CCEEFF"/>
          </w:tcPr>
          <w:p>
            <w:pPr>
              <w:spacing w:after="0" w:line="164" w:lineRule="exact"/>
              <w:rPr>
                <w:sz w:val="20"/>
                <w:szCs w:val="20"/>
                <w:color w:val="auto"/>
              </w:rPr>
            </w:pPr>
            <w:r>
              <w:rPr>
                <w:rFonts w:ascii="Arial" w:cs="Arial" w:eastAsia="Arial" w:hAnsi="Arial"/>
                <w:sz w:val="18"/>
                <w:szCs w:val="18"/>
                <w:color w:val="auto"/>
              </w:rPr>
              <w:t>Total cash, cash equivalents, and restricted cash shown in the statements of</w:t>
            </w: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489,268</w:t>
            </w:r>
          </w:p>
        </w:tc>
        <w:tc>
          <w:tcPr>
            <w:tcW w:w="400" w:type="dxa"/>
            <w:vAlign w:val="bottom"/>
            <w:gridSpan w:val="2"/>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453,271</w:t>
            </w:r>
          </w:p>
        </w:tc>
        <w:tc>
          <w:tcPr>
            <w:tcW w:w="0" w:type="dxa"/>
            <w:vAlign w:val="bottom"/>
          </w:tcPr>
          <w:p>
            <w:pPr>
              <w:spacing w:after="0"/>
              <w:rPr>
                <w:sz w:val="1"/>
                <w:szCs w:val="1"/>
                <w:color w:val="auto"/>
              </w:rPr>
            </w:pPr>
          </w:p>
        </w:tc>
      </w:tr>
      <w:tr>
        <w:trPr>
          <w:trHeight w:val="208"/>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flows</w:t>
            </w:r>
          </w:p>
        </w:tc>
        <w:tc>
          <w:tcPr>
            <w:tcW w:w="42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Restricted cash includes amounts required to be held as a security deposit in the form of letters of credit for the Company’s credit card program and the fleet program.</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Company’s investments consist of debt securities that are classified as available-for-sale. Short-term and long-term investments are carried at fair value and unrealized gains and losses are recorded as a component of accumulated comprehensive income in stockholders’ equity. Interest income earned on cash and investment balances, accretion of the discount on investments in debt securities, amortization of premiums and realized gains and losses, if any, are recorded in interest income on the unaudited condensed consolidated statement of operations and comprehensive income. Realized gains and losses that result from the sale of investments are determined on a specific identification basis.</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At each reporting period, the Company reviews any unrealized losses position to determine if the decline in the fair value of the underlying investments is a result of credit losses or other factors. If the assessment indicates that a credit loss exists, any impairment is recognized as an allowance for credit losses in our consolidated statement of operations.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Concentrations of Risk</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Substantially all of the Company’s cash and money market funds are held in five financial institutions. Due to their size, the Company believes these financial institutions represent minimal credit risk. Deposits may exceed the amount of insurance provided on such deposits by the Federal Deposit Insurance Corporation for U.S. institutions. The Company believes that it is not exposed to significant credit risk due to the financial position of the depository institutions in which those deposits are held.</w:t>
      </w:r>
    </w:p>
    <w:p>
      <w:pPr>
        <w:spacing w:after="0" w:line="17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Company is subject to credit risk from its trade receivables related to product sales. The Company extends credit to specialty pharmaceutical distribution companies within the United States. Customer creditworthiness is monitored, and collateral is not required. Historically, the Company has not experienced credit losses on its accounts receivable. The Company monitors its exposure within accounts receivable and would record a reserve for uncollectible amounts, if necessary. As of March 31, 2025, three customers accounted for 100% of gross accounts receivable; Caremark LLC (“CVS Caremark”), which accounted for 40% of gross accounts receivable; Accredo Health Group, Inc. (“Accredo”), which accounted for 32% of gross accounts receivable; and PANTHERx Specialty Pharmacy LLC (“Pantherx”), which accounted for 28% of gross accounts receivable. As of December 31, 2024, three customers accounted for 100% of gross accounts receivable; CVS Caremark, which accounted for 39% of gross accounts receivable, Pantherx, which accounted for 31% of gross accounts receivable; and Accredo, which accounted for 30% of gross accounts receivable.</w:t>
      </w:r>
    </w:p>
    <w:p>
      <w:pPr>
        <w:spacing w:after="0" w:line="18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For the three months ended March 31, 2025, three customers accounted for 100% of gross product revenue; CVS Caremark accounted for 40% of gross product revenue; Accredo accounted for 35% of gross product revenue; and Pantherx accounted for 25% of gross product revenue. For the three months ended March 31, 2024, three customers accounted for 100% of gross product revenue; CVS Caremark accounted for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42% of gross product revenue; Accredo accounted for 33% of gross product revenue; and Pantherx accounted for 25% of gross product revenue.</w:t>
      </w:r>
    </w:p>
    <w:p>
      <w:pPr>
        <w:spacing w:after="0" w:line="154"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The Company depends on a single supplier of the active pharmaceutical ingredient (“API”) for its commercial product, WAKIX, and single API suppliers for each of its potential product candidates.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 Repurchases</w:t>
      </w:r>
    </w:p>
    <w:p>
      <w:pPr>
        <w:spacing w:after="0" w:line="212" w:lineRule="exact"/>
        <w:rPr>
          <w:sz w:val="20"/>
          <w:szCs w:val="20"/>
          <w:color w:val="auto"/>
        </w:rPr>
      </w:pPr>
    </w:p>
    <w:p>
      <w:pPr>
        <w:ind w:left="60" w:right="79" w:firstLine="648"/>
        <w:spacing w:after="0" w:line="244" w:lineRule="auto"/>
        <w:rPr>
          <w:sz w:val="20"/>
          <w:szCs w:val="20"/>
          <w:color w:val="auto"/>
        </w:rPr>
      </w:pPr>
      <w:r>
        <w:rPr>
          <w:rFonts w:ascii="Arial" w:cs="Arial" w:eastAsia="Arial" w:hAnsi="Arial"/>
          <w:sz w:val="18"/>
          <w:szCs w:val="18"/>
          <w:color w:val="auto"/>
        </w:rPr>
        <w:t>The Company accounts for share repurchases as constructive retirements, whereby it reduces common stock and additional paid-in capital by the amount of the original issuance, with any excess purchase price recorded as a reduction to retained earnings. Under this method, issued and outstanding shares of common stock are reduced by the amount of shares of common stock repurchased, and no treasury stock is recognized on the condensed consolidated financial statements.</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Business Combinations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 xml:space="preserve">Business combinations and asset acquisitions are accounted for in accordance with FASB ASC 805 Business Combinations. Refer to Note 4, </w:t>
      </w:r>
      <w:r>
        <w:rPr>
          <w:rFonts w:ascii="Arial" w:cs="Arial" w:eastAsia="Arial" w:hAnsi="Arial"/>
          <w:sz w:val="18"/>
          <w:szCs w:val="18"/>
          <w:i w:val="1"/>
          <w:iCs w:val="1"/>
          <w:color w:val="auto"/>
        </w:rPr>
        <w:t>Acquisitions</w:t>
      </w:r>
      <w:r>
        <w:rPr>
          <w:rFonts w:ascii="Arial" w:cs="Arial" w:eastAsia="Arial" w:hAnsi="Arial"/>
          <w:sz w:val="18"/>
          <w:szCs w:val="18"/>
          <w:color w:val="auto"/>
        </w:rPr>
        <w:t>, for a more detailed discussion of the Company’s acquisition of Epygenix.</w:t>
      </w:r>
    </w:p>
    <w:p>
      <w:pPr>
        <w:spacing w:after="0" w:line="15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 xml:space="preserve">In November 2023, the FASB issued Accounting Standards Update (“ASU”) No. 2023-07, </w:t>
      </w:r>
      <w:r>
        <w:rPr>
          <w:rFonts w:ascii="Arial" w:cs="Arial" w:eastAsia="Arial" w:hAnsi="Arial"/>
          <w:sz w:val="18"/>
          <w:szCs w:val="18"/>
          <w:i w:val="1"/>
          <w:iCs w:val="1"/>
          <w:color w:val="auto"/>
        </w:rPr>
        <w:t>Improvements to Reportable Segment Disclosures</w:t>
      </w:r>
      <w:r>
        <w:rPr>
          <w:rFonts w:ascii="Arial" w:cs="Arial" w:eastAsia="Arial" w:hAnsi="Arial"/>
          <w:sz w:val="18"/>
          <w:szCs w:val="18"/>
          <w:color w:val="auto"/>
        </w:rPr>
        <w:t xml:space="preserve"> (“ASU 2023-07”). ASU 2023-07 is intended to improve reportable segment disclosures primarily through enhanced disclosure of reportable segment expenses and requires that a public entity that has a single reportable segment provide all the disclosures required by ASU 2023-07 and all existing segment disclosures in Topic 280. This ASU was effective for annual reporting periods beginning after December 15, 2023, and interim periods within fiscal years beginning after December 15, 2024. Early adoption was permitted. ASU 2023-07 was required to be applied retrospectively to all prior periods presented in the financial statements. The Company adopted this guidance in the fourth quarter of 2024. This pronouncement addresses disclosures only and had no impact on the Company’s consolidated financial statements.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98"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 xml:space="preserve">In December 2023, the FASB issued Accounting Standards Update (“ASU”) No 2023-09,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(Topic 740): Improvements to Income Tax Disclosures” </w:t>
      </w:r>
      <w:r>
        <w:rPr>
          <w:rFonts w:ascii="Arial" w:cs="Arial" w:eastAsia="Arial" w:hAnsi="Arial"/>
          <w:sz w:val="18"/>
          <w:szCs w:val="18"/>
          <w:color w:val="auto"/>
        </w:rPr>
        <w:t>(“ASU 2023-09”). ASU 2023-09 expands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in the rate reconciliation and requires disclosure of income taxes paid by jurisdiction. ASU 2023-09 is effective for fiscal years beginning after December 15, 2024. Early adoption is permitted. The Company is currently evaluating the impact that ASU 2023-09 will have on its condensed consolidated financial statements.</w:t>
      </w:r>
    </w:p>
    <w:p>
      <w:pPr>
        <w:spacing w:after="0" w:line="16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Income—Expense Disaggregation Disclosures (Subtopic 220-40)</w:t>
      </w:r>
      <w:r>
        <w:rPr>
          <w:rFonts w:ascii="Arial" w:cs="Arial" w:eastAsia="Arial" w:hAnsi="Arial"/>
          <w:sz w:val="18"/>
          <w:szCs w:val="18"/>
          <w:color w:val="auto"/>
        </w:rPr>
        <w:t>. ASU 2024-03 requires disclosure,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to the financial statements, of specified information about certain costs and expenses, including amounts of purchases of inventory, employee compensation, depreciation, and intangible asset amortization included in each relevant expense caption, as well as a qualitative description of amounts remaining in relevant expense captions that are not separately disaggregated quantitatively. ASU 2024-03 also requires disclosure of the total amount of selling expenses and, in annual periods, an entity’s definition of selling expenses. ASU 2024-03 is effective for fiscal years beginning after December 15, 2026, and interim periods within fiscal years beginning after December 15, 2027. The guidance may be applied prospectively or retrospectively. Early adoption is permitted. The Company is currently evaluating the impact that ASU 2024-03 will have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ACQUISITIONS</w:t>
      </w:r>
    </w:p>
    <w:p>
      <w:pPr>
        <w:spacing w:after="0" w:line="21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Acquisition of Epygenix</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On April 30, 2024, the Company acquired all of the issued and outstanding capital stock of Epygenix pursuant to the terms of a stock purchase agreement. The Company paid the former stockholders of Epygenix up front consideration of $35,000 less a working capital adjustment. In addition, the Company will be obligated to pay up to $130,000 upon the achievement of development and regulatory milestones and up to $515,000 upon the achievement of certain sales-based milestones, in each case to Epygenix’s former stockholders. As a result, the Company now has an exclusive license relating to the use of clemizole, initially for the treatment of DS and LGS.</w:t>
      </w:r>
    </w:p>
    <w:p>
      <w:pPr>
        <w:spacing w:after="0" w:line="18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acquisition of Epygenix was accounted for as an asset acquisition under ASC Topic 805, Business Combinations. The Company did not acquire any outputs and there was not an acquired substantive process in place to create outputs. The Company recognized the acquired assets and assumed liabilities based on the consideration paid, including transaction costs, on a relative fair value basis, and after first allocating the preliminary excess of the fair value of net assets acquired over the purchase price consideration to certain qualifying assets, principally, the IPR&amp;D asset. In accordance with the accounting for asset acquisitions, an entity that acquires IPR&amp;D assets in an asset acquisition follows the guidance in ASC Topic 730, Research and Development, which requires that both tangible and intangible identifiable research and development assets with no alternative future use be allocated a portion of the consideration transferred and recorded as research and development expense at the acquisition date. As a result, the Company recorded a charge of $17,095 related to acquired in-process research and development expense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INVESTMENTS</w:t>
      </w:r>
    </w:p>
    <w:p>
      <w:pPr>
        <w:spacing w:after="0" w:line="200" w:lineRule="exact"/>
        <w:rPr>
          <w:sz w:val="20"/>
          <w:szCs w:val="20"/>
          <w:color w:val="auto"/>
        </w:rPr>
      </w:pPr>
    </w:p>
    <w:p>
      <w:pPr>
        <w:spacing w:after="0" w:line="21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carrying value and amortized cost of the Company’s available-for-sale debt securities, summarized by type of security, consisted of the following:</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March 31, 2025</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234"/>
        </w:trPr>
        <w:tc>
          <w:tcPr>
            <w:tcW w:w="5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Amortized</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Unrealized</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r>
      <w:tr>
        <w:trPr>
          <w:trHeight w:val="191"/>
        </w:trPr>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Cost</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Gains</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r>
      <w:tr>
        <w:trPr>
          <w:trHeight w:val="209"/>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11,401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11,412</w:t>
            </w: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6,543</w:t>
            </w:r>
          </w:p>
        </w:tc>
      </w:tr>
      <w:tr>
        <w:trPr>
          <w:trHeight w:val="236"/>
        </w:trPr>
        <w:tc>
          <w:tcPr>
            <w:tcW w:w="50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17,936</w:t>
            </w:r>
          </w:p>
        </w:tc>
        <w:tc>
          <w:tcPr>
            <w:tcW w:w="16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17,955</w:t>
            </w:r>
          </w:p>
        </w:tc>
      </w:tr>
      <w:tr>
        <w:trPr>
          <w:trHeight w:val="197"/>
        </w:trPr>
        <w:tc>
          <w:tcPr>
            <w:tcW w:w="5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Long-term:</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84,911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85,093</w:t>
            </w: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securities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17,372</w:t>
            </w:r>
          </w:p>
        </w:tc>
      </w:tr>
      <w:tr>
        <w:trPr>
          <w:trHeight w:val="196"/>
        </w:trPr>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Total long-term investments</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103,019</w:t>
            </w:r>
          </w:p>
        </w:tc>
        <w:tc>
          <w:tcPr>
            <w:tcW w:w="16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277</w:t>
            </w:r>
          </w:p>
        </w:tc>
        <w:tc>
          <w:tcPr>
            <w:tcW w:w="16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103,245</w:t>
            </w:r>
          </w:p>
        </w:tc>
      </w:tr>
      <w:tr>
        <w:trPr>
          <w:trHeight w:val="20"/>
        </w:trPr>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13"/>
        </w:trPr>
        <w:tc>
          <w:tcPr>
            <w:tcW w:w="5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34"/>
        </w:trPr>
        <w:tc>
          <w:tcPr>
            <w:tcW w:w="5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Amortized</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Unrealized</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r>
      <w:tr>
        <w:trPr>
          <w:trHeight w:val="191"/>
        </w:trPr>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Cost</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Gains</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r>
      <w:tr>
        <w:trPr>
          <w:trHeight w:val="210"/>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7,670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7,678</w:t>
            </w: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w:t>
            </w:r>
          </w:p>
        </w:tc>
      </w:tr>
      <w:tr>
        <w:trPr>
          <w:trHeight w:val="236"/>
        </w:trPr>
        <w:tc>
          <w:tcPr>
            <w:tcW w:w="50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14,165</w:t>
            </w:r>
          </w:p>
        </w:tc>
        <w:tc>
          <w:tcPr>
            <w:tcW w:w="16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14,185</w:t>
            </w:r>
          </w:p>
        </w:tc>
      </w:tr>
      <w:tr>
        <w:trPr>
          <w:trHeight w:val="197"/>
        </w:trPr>
        <w:tc>
          <w:tcPr>
            <w:tcW w:w="5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Long-term:</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86,750</w:t>
            </w: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U.S. government securities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22,128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22,124</w:t>
            </w:r>
          </w:p>
        </w:tc>
      </w:tr>
      <w:tr>
        <w:trPr>
          <w:trHeight w:val="196"/>
        </w:trPr>
        <w:tc>
          <w:tcPr>
            <w:tcW w:w="50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long-term investments</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108,828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108,874</w:t>
            </w:r>
          </w:p>
        </w:tc>
      </w:tr>
      <w:tr>
        <w:trPr>
          <w:trHeight w:val="20"/>
        </w:trPr>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classifies investments with an original maturity of less than one year as current and investments with an original maturity date of greater than one year as noncurrent in its unaudited condensed consolidated balance sheet. The investments classified as noncurrent have original maturity dates ranging from 1-2 years. The Company did not have any available-for-sale debt security investments in a continuous unrealized loss position of greater than 12 months as of March 31, 2025, and December 31, 2024, respectively.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FAIR VALUE MEASUREMENTS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 other pricing sources. The Company did not classify any assets or liabilities as Level 3 as of March 31, 2025, or December 31, 2024.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assets measured at fair value consisted of the following:</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March 31, 2025</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December 31, 2024</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6"/>
        </w:trPr>
        <w:tc>
          <w:tcPr>
            <w:tcW w:w="30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$ 302,200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302,200</w:t>
            </w:r>
          </w:p>
        </w:tc>
        <w:tc>
          <w:tcPr>
            <w:tcW w:w="1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$ 303,545</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303,545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91,636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91,636</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93,257</w:t>
            </w: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93,257</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securities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0" w:type="dxa"/>
            <w:vAlign w:val="bottom"/>
          </w:tcPr>
          <w:p>
            <w:pPr>
              <w:spacing w:after="0"/>
              <w:rPr>
                <w:sz w:val="1"/>
                <w:szCs w:val="1"/>
                <w:color w:val="auto"/>
              </w:rPr>
            </w:pPr>
          </w:p>
        </w:tc>
      </w:tr>
      <w:tr>
        <w:trPr>
          <w:trHeight w:val="196"/>
        </w:trPr>
        <w:tc>
          <w:tcPr>
            <w:tcW w:w="3060" w:type="dxa"/>
            <w:vAlign w:val="bottom"/>
          </w:tcPr>
          <w:p>
            <w:pPr>
              <w:ind w:left="120"/>
              <w:spacing w:after="0" w:line="196" w:lineRule="exact"/>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$ 423,400</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302,200</w:t>
            </w:r>
          </w:p>
        </w:tc>
        <w:tc>
          <w:tcPr>
            <w:tcW w:w="1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121,200</w:t>
            </w:r>
          </w:p>
        </w:tc>
        <w:tc>
          <w:tcPr>
            <w:tcW w:w="240" w:type="dxa"/>
            <w:vAlign w:val="bottom"/>
          </w:tcPr>
          <w:p>
            <w:pPr>
              <w:spacing w:after="0"/>
              <w:rPr>
                <w:sz w:val="17"/>
                <w:szCs w:val="17"/>
                <w:color w:val="auto"/>
              </w:rPr>
            </w:pPr>
          </w:p>
        </w:tc>
        <w:tc>
          <w:tcPr>
            <w:tcW w:w="9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$ 426,604</w:t>
            </w:r>
          </w:p>
        </w:tc>
        <w:tc>
          <w:tcPr>
            <w:tcW w:w="160" w:type="dxa"/>
            <w:vAlign w:val="bottom"/>
          </w:tcPr>
          <w:p>
            <w:pPr>
              <w:spacing w:after="0"/>
              <w:rPr>
                <w:sz w:val="17"/>
                <w:szCs w:val="17"/>
                <w:color w:val="auto"/>
              </w:rPr>
            </w:pPr>
          </w:p>
        </w:tc>
        <w:tc>
          <w:tcPr>
            <w:tcW w:w="760" w:type="dxa"/>
            <w:vAlign w:val="bottom"/>
            <w:tcBorders>
              <w:top w:val="single" w:sz="8" w:color="auto"/>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303,545</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123,059</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7. INVENTORY</w:t>
            </w: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30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900" w:type="dxa"/>
            <w:vAlign w:val="bottom"/>
            <w:gridSpan w:val="2"/>
          </w:tcPr>
          <w:p>
            <w:pPr>
              <w:ind w:left="660"/>
              <w:spacing w:after="0"/>
              <w:rPr>
                <w:sz w:val="20"/>
                <w:szCs w:val="20"/>
                <w:color w:val="auto"/>
              </w:rPr>
            </w:pPr>
            <w:r>
              <w:rPr>
                <w:rFonts w:ascii="Arial" w:cs="Arial" w:eastAsia="Arial" w:hAnsi="Arial"/>
                <w:sz w:val="18"/>
                <w:szCs w:val="18"/>
                <w:color w:val="auto"/>
              </w:rPr>
              <w:t>Inventory, net consisted of the following:</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4"/>
          </w:tcPr>
          <w:p>
            <w:pPr>
              <w:jc w:val="right"/>
              <w:ind w:right="380"/>
              <w:spacing w:after="0" w:line="147" w:lineRule="exact"/>
              <w:rPr>
                <w:sz w:val="20"/>
                <w:szCs w:val="20"/>
                <w:color w:val="auto"/>
              </w:rPr>
            </w:pPr>
            <w:r>
              <w:rPr>
                <w:rFonts w:ascii="Arial" w:cs="Arial" w:eastAsia="Arial" w:hAnsi="Arial"/>
                <w:sz w:val="14"/>
                <w:szCs w:val="14"/>
                <w:b w:val="1"/>
                <w:bCs w:val="1"/>
                <w:color w:val="auto"/>
              </w:rPr>
              <w:t>March 31,</w:t>
            </w:r>
          </w:p>
        </w:tc>
        <w:tc>
          <w:tcPr>
            <w:tcW w:w="1000" w:type="dxa"/>
            <w:vAlign w:val="bottom"/>
            <w:gridSpan w:val="4"/>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0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36"/>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Raw materials</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912</w:t>
            </w:r>
          </w:p>
        </w:tc>
        <w:tc>
          <w:tcPr>
            <w:tcW w:w="2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03"/>
        </w:trPr>
        <w:tc>
          <w:tcPr>
            <w:tcW w:w="3060" w:type="dxa"/>
            <w:vAlign w:val="bottom"/>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3,411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Finished goods</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2,225</w:t>
            </w:r>
          </w:p>
        </w:tc>
        <w:tc>
          <w:tcPr>
            <w:tcW w:w="2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196"/>
        </w:trPr>
        <w:tc>
          <w:tcPr>
            <w:tcW w:w="3060" w:type="dxa"/>
            <w:vAlign w:val="bottom"/>
          </w:tcPr>
          <w:p>
            <w:pPr>
              <w:ind w:left="20"/>
              <w:spacing w:after="0" w:line="196" w:lineRule="exact"/>
              <w:rPr>
                <w:sz w:val="20"/>
                <w:szCs w:val="20"/>
                <w:color w:val="auto"/>
              </w:rPr>
            </w:pPr>
            <w:r>
              <w:rPr>
                <w:rFonts w:ascii="Arial" w:cs="Arial" w:eastAsia="Arial" w:hAnsi="Arial"/>
                <w:sz w:val="18"/>
                <w:szCs w:val="18"/>
                <w:color w:val="auto"/>
              </w:rPr>
              <w:t>Inventory, gross</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6,548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7,198</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Reserve for excess inventory</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(164)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060" w:type="dxa"/>
            <w:vAlign w:val="bottom"/>
          </w:tcPr>
          <w:p>
            <w:pPr>
              <w:ind w:left="20"/>
              <w:spacing w:after="0" w:line="196" w:lineRule="exact"/>
              <w:rPr>
                <w:sz w:val="20"/>
                <w:szCs w:val="20"/>
                <w:color w:val="auto"/>
              </w:rPr>
            </w:pPr>
            <w:r>
              <w:rPr>
                <w:rFonts w:ascii="Arial" w:cs="Arial" w:eastAsia="Arial" w:hAnsi="Arial"/>
                <w:sz w:val="18"/>
                <w:szCs w:val="18"/>
                <w:color w:val="auto"/>
              </w:rPr>
              <w:t>Total inventory, net</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6,384</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80"/>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7,198</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INTANGIBLE ASSETS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August 2019, the Company received FDA approval of WAKIX for the treatment of EDS in adult patients with narcolepsy. This event triggered a milestone payment of $75,000 under the provisions of the 2017 LCA which the Company capitalized as an intangible asset. The Company determined a useful life of 10 years for the intangible asset, and, as of March 31, 2025, the remaining useful life was 4.5 years.</w:t>
      </w:r>
    </w:p>
    <w:p>
      <w:pPr>
        <w:spacing w:after="0" w:line="174"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October 2020, the Company received FDA approval for the New Drug Application (“NDA”) for WAKIX for the treatment of cataplexy in adult patients with narcolepsy. This event triggered a milestone payment of $100,000 under the provisions of the 2017 LCA which the Company capitalized as an intangible asset and paid in January of 2021. The Company determined a useful life of 9 years for the intangible asset, and, as of March 31, 2025, the remaining useful life was 4.5 years.</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February 2022, the Company attained $500,000 in life-to-date aggregate net sales of WAKIX in the United States. This event triggered a final $40,000 payment under the provisions of the 2017 LCA which the Company capitalized as an intangible asset and paid in March of 2022. The Company determined a useful life of 7.6 years for the intangible asset, and, as of March 31, 2025, the remaining useful life was 4.5 years.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Amortization expense was $5,961 for each of the three months ended March 31, 2025, and 2024, respectively, and is recorded in general and administrative on the unaudited condensed consolidated statements of operations and comprehensive income.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8"/>
          <w:szCs w:val="18"/>
          <w:color w:val="auto"/>
        </w:rPr>
        <w:t>The Company expects the future annual amortization expense for the unamortized intangible assets to be as follows:</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622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3"/>
        </w:trPr>
        <w:tc>
          <w:tcPr>
            <w:tcW w:w="6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2025 (excluding the three months ended March 31, 2025)</w:t>
            </w:r>
          </w:p>
        </w:tc>
        <w:tc>
          <w:tcPr>
            <w:tcW w:w="1800" w:type="dxa"/>
            <w:vAlign w:val="bottom"/>
            <w:gridSpan w:val="2"/>
            <w:shd w:val="clear" w:color="auto" w:fill="CCEEFF"/>
          </w:tcPr>
          <w:p>
            <w:pPr>
              <w:jc w:val="right"/>
              <w:ind w:right="107"/>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17,884</w:t>
            </w:r>
          </w:p>
        </w:tc>
      </w:tr>
      <w:tr>
        <w:trPr>
          <w:trHeight w:val="203"/>
        </w:trPr>
        <w:tc>
          <w:tcPr>
            <w:tcW w:w="6220" w:type="dxa"/>
            <w:vAlign w:val="bottom"/>
          </w:tcPr>
          <w:p>
            <w:pPr>
              <w:ind w:left="100"/>
              <w:spacing w:after="0" w:line="202" w:lineRule="exact"/>
              <w:rPr>
                <w:sz w:val="20"/>
                <w:szCs w:val="20"/>
                <w:color w:val="auto"/>
              </w:rPr>
            </w:pPr>
            <w:r>
              <w:rPr>
                <w:rFonts w:ascii="Arial" w:cs="Arial" w:eastAsia="Arial" w:hAnsi="Arial"/>
                <w:sz w:val="18"/>
                <w:szCs w:val="18"/>
                <w:color w:val="auto"/>
              </w:rPr>
              <w:t>2026</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r>
      <w:tr>
        <w:trPr>
          <w:trHeight w:val="203"/>
        </w:trPr>
        <w:tc>
          <w:tcPr>
            <w:tcW w:w="6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2027</w:t>
            </w: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r>
      <w:tr>
        <w:trPr>
          <w:trHeight w:val="203"/>
        </w:trPr>
        <w:tc>
          <w:tcPr>
            <w:tcW w:w="6220" w:type="dxa"/>
            <w:vAlign w:val="bottom"/>
          </w:tcPr>
          <w:p>
            <w:pPr>
              <w:ind w:left="100"/>
              <w:spacing w:after="0" w:line="202" w:lineRule="exact"/>
              <w:rPr>
                <w:sz w:val="20"/>
                <w:szCs w:val="20"/>
                <w:color w:val="auto"/>
              </w:rPr>
            </w:pPr>
            <w:r>
              <w:rPr>
                <w:rFonts w:ascii="Arial" w:cs="Arial" w:eastAsia="Arial" w:hAnsi="Arial"/>
                <w:sz w:val="18"/>
                <w:szCs w:val="18"/>
                <w:color w:val="auto"/>
              </w:rPr>
              <w:t>2028</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r>
      <w:tr>
        <w:trPr>
          <w:trHeight w:val="203"/>
        </w:trPr>
        <w:tc>
          <w:tcPr>
            <w:tcW w:w="6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2029</w:t>
            </w: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17,883</w:t>
            </w:r>
          </w:p>
        </w:tc>
      </w:tr>
      <w:tr>
        <w:trPr>
          <w:trHeight w:val="203"/>
        </w:trPr>
        <w:tc>
          <w:tcPr>
            <w:tcW w:w="62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Thereafter</w:t>
            </w:r>
          </w:p>
        </w:tc>
        <w:tc>
          <w:tcPr>
            <w:tcW w:w="15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2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15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107,302</w:t>
            </w:r>
          </w:p>
        </w:tc>
      </w:tr>
      <w:tr>
        <w:trPr>
          <w:trHeight w:val="20"/>
        </w:trPr>
        <w:tc>
          <w:tcPr>
            <w:tcW w:w="6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gross carrying amount and net book value of the intangible asset was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6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March 31,</w:t>
            </w:r>
          </w:p>
        </w:tc>
        <w:tc>
          <w:tcPr>
            <w:tcW w:w="9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r>
      <w:tr>
        <w:trPr>
          <w:trHeight w:val="171"/>
        </w:trPr>
        <w:tc>
          <w:tcPr>
            <w:tcW w:w="6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r>
      <w:tr>
        <w:trPr>
          <w:trHeight w:val="196"/>
        </w:trPr>
        <w:tc>
          <w:tcPr>
            <w:tcW w:w="6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Gross Carrying Amount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20" w:type="dxa"/>
            <w:vAlign w:val="bottom"/>
          </w:tcPr>
          <w:p>
            <w:pPr>
              <w:spacing w:after="0"/>
              <w:rPr>
                <w:sz w:val="17"/>
                <w:szCs w:val="17"/>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Accumulated Amortization</w:t>
            </w:r>
          </w:p>
        </w:tc>
        <w:tc>
          <w:tcPr>
            <w:tcW w:w="12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(107,698)</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(101,737)</w:t>
            </w:r>
          </w:p>
        </w:tc>
        <w:tc>
          <w:tcPr>
            <w:tcW w:w="20" w:type="dxa"/>
            <w:vAlign w:val="bottom"/>
          </w:tcPr>
          <w:p>
            <w:pPr>
              <w:spacing w:after="0"/>
              <w:rPr>
                <w:sz w:val="17"/>
                <w:szCs w:val="17"/>
                <w:color w:val="auto"/>
              </w:rPr>
            </w:pPr>
          </w:p>
        </w:tc>
      </w:tr>
      <w:tr>
        <w:trPr>
          <w:trHeight w:val="196"/>
        </w:trPr>
        <w:tc>
          <w:tcPr>
            <w:tcW w:w="67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Book Value</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107,302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113,263</w:t>
            </w:r>
          </w:p>
        </w:tc>
        <w:tc>
          <w:tcPr>
            <w:tcW w:w="20" w:type="dxa"/>
            <w:vAlign w:val="bottom"/>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ind w:left="700" w:right="3199" w:hanging="650"/>
        <w:spacing w:after="0" w:line="485" w:lineRule="auto"/>
        <w:tabs>
          <w:tab w:leader="none" w:pos="2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 AND ASSET PURCHASE AGREEMENTS Bioprojet Agreements</w:t>
      </w:r>
    </w:p>
    <w:p>
      <w:pPr>
        <w:jc w:val="both"/>
        <w:ind w:left="60" w:right="59" w:firstLine="648"/>
        <w:spacing w:after="0" w:line="237" w:lineRule="auto"/>
        <w:rPr>
          <w:sz w:val="20"/>
          <w:szCs w:val="20"/>
          <w:color w:val="auto"/>
        </w:rPr>
      </w:pPr>
      <w:r>
        <w:rPr>
          <w:rFonts w:ascii="Arial" w:cs="Arial" w:eastAsia="Arial" w:hAnsi="Arial"/>
          <w:sz w:val="18"/>
          <w:szCs w:val="18"/>
          <w:color w:val="auto"/>
        </w:rPr>
        <w:t>In July 2017, Harmony entered into the 2017 LCA with Bioprojet whereby Harmony acquired the exclusive right to commercialize the pharmaceutical compound pitolisant for the treatment, and/or prevention, of narcolepsy, obstructive sleep apnea, idiopathic hypersomnia, and Parkinson’s disease, as well as any other indications unanimously agreed by the parties in the United States and its territories. A milestone payment of $50,000 was due upon acceptance by the FDA of pitolisant’s NDA, which was achieved in February 2019 and was expensed within research and development for the year ended December 31, 2019. A milestone payment of $77,000, which included a $2,000 fee that is described below, was due upon FDA approval of WAKIX (pitolisant) for treatment of EDS in adult patients with narcolepsy, which was achieved in August 2019. The $2,000 payment and $75,000 milestone payment were paid in August and November 2019, respectively. In addition, a milestone payment of $102,000, which included a $2,000 fee was due upon the FDA approval of the NDA for WAKIX for the treatment of cataplexy in adult patients with narcolepsy. The $ 2,000 payment was paid in October 2020 and a $100,000 milestone payment was paid in January 2021. A final $40,000 milestone payment was paid to Bioprojet in March 2022 upon WAKIX attaining $500,000 in aggregate net sales in the United States. The 2017 LCA also requires a fixed trademark royalty and a tiered royalty based on net sales, which is payable to Bioprojet on a quarterly basis. The Company incurred $29,557 and $24,738 for the three months ended March 31, 2025, and 2024, respectively, for sales-based, trademark and tiered royalties recognized as cost of product sold. As of March 31, 2025, and December 31, 2024, the Company had accrued $29,557 and $51,746, respectively, for sales-based, trademark and tiered royalties.</w:t>
      </w:r>
    </w:p>
    <w:p>
      <w:pPr>
        <w:spacing w:after="0" w:line="18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July 2022, Harmony entered into the 2022 LCA with Bioprojet whereby Harmony obtained exclusive rights to manufacture, use and commercialize one or more new products based on pitolisant in the United States and Latin America, with the potential to add additional indications and formulations upon agreement of both parties. Harmony paid an initial, non-refundable $30,000 licensing fee in October 2022 and additional payments of up to $155,000 are potentially due under the 2022 LCA upon the achievement of certain future development and sales-based milestones. In addition, there are other payments due upon achievement of development milestones for new indications and formulations as agreed upon by both parties. The 2022 LCA also requires a fixed trademark royalty and a tiered royalty based on net sales upon commercialization, which will be payable to Bioprojet on a quarterly basis.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April 2024, the Company announced that it entered into a sublicense agreement with Bioprojet for an orexin-2 receptor agonist (the “Licensed Compound”) to be evaluated for the treatment of narcolepsy and other potential indications (the “Sublicense”). Under the Sublicense, the Company obtained the exclusive right to develop, manufacture and commercialize the Licensed Compound in the United States and Latin American territories (the “Licensed Territories”), which are rights that Bioprojet originally licensed from Teijin Pharma, the innovator of the Licensed Compound. The Licensed Compound is currently in pre-clinical development with an Investigational Medicinal Product Dossier (“IMPD”) Application currently anticipated in mid-2025. Under the Sublicense, the Company paid Bioprojet an upfront license fee of $ 25,500, which the Company recognized as an IPR&amp;D charge recorded in research and development within the consolidated statements of operations and comprehensive income for the year ended December 31, 2024, and will also be obligated to pay up to $127,500 upon achievement of development and regulatory milestones and up to $240,000 upon achievement of sales-based milestones, as well as royalty rates in the mid-teens on any sales of product using the Licensed Compound in the Licensed Territories.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ConSynance Agreement</w:t>
      </w:r>
    </w:p>
    <w:p>
      <w:pPr>
        <w:spacing w:after="0" w:line="21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In August 2021, the Company entered into an asset purchase agreement with ConSynance Therapeutics, Inc. (the “APA”) to acquire HBS-102 (formerly referred to as “CSTI-100”), a potential first-in-class molecule with a novel mechanism of action. Under the terms of the APA, the Company acquired full development and commercialization rights globally, with the exception of Greater China, for $3,500. The Company accounted for the transaction as an asset acquisition as substantially all of the fair value of the assets acquired was concentrated in a single identified asset. In March 2023, the Company achieved a preclinical milestone, which triggered a $750 payment under the provisions of the APA, which the Company recognized as an IPR&amp;D charge recorded in research and development within the consolidated statement of operations and comprehensive income for the year ended December 31, 2023. In September 2024, the Company achieved a milestone for preclinical proof-of-concept, which triggered a $1,000 payment under the provisions of the APA, which the Company recognized as an IPR&amp;D charge recorded in research and development within the consolidated statement of operations and comprehensive income for the year ended December 31, 2024. There are additional payments due under the APA upon the achievement of certain milestones including $19,000 for development milestones, $44,000 for regulatory milestones and $110,000 for sales milestones.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ACCRUED EXPENSES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consisted of the following: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As of</w:t>
            </w:r>
          </w:p>
        </w:tc>
        <w:tc>
          <w:tcPr>
            <w:tcW w:w="820" w:type="dxa"/>
            <w:vAlign w:val="bottom"/>
            <w:tcBorders>
              <w:bottom w:val="single" w:sz="8" w:color="auto"/>
            </w:tcBorders>
          </w:tcPr>
          <w:p>
            <w:pPr>
              <w:spacing w:after="0"/>
              <w:rPr>
                <w:sz w:val="14"/>
                <w:szCs w:val="14"/>
                <w:color w:val="auto"/>
              </w:rPr>
            </w:pPr>
          </w:p>
        </w:tc>
      </w:tr>
      <w:tr>
        <w:trPr>
          <w:trHeight w:val="146"/>
        </w:trPr>
        <w:tc>
          <w:tcPr>
            <w:tcW w:w="5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2"/>
                <w:szCs w:val="12"/>
                <w:color w:val="auto"/>
              </w:rPr>
            </w:pPr>
          </w:p>
        </w:tc>
        <w:tc>
          <w:tcPr>
            <w:tcW w:w="100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28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2024</w:t>
            </w:r>
          </w:p>
        </w:tc>
      </w:tr>
      <w:tr>
        <w:trPr>
          <w:trHeight w:val="196"/>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Royalties due to Bioprojet</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29,557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51,746</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Rebates and other sales deductions</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58,303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50,542</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2,834</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4,276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2,166</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8,943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9,014</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Professional fees, consulting, and other services</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7,619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3,047</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expenses</w:t>
            </w:r>
          </w:p>
        </w:tc>
        <w:tc>
          <w:tcPr>
            <w:tcW w:w="1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1,695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1,291</w:t>
            </w:r>
          </w:p>
        </w:tc>
      </w:tr>
      <w:tr>
        <w:trPr>
          <w:trHeight w:val="196"/>
        </w:trPr>
        <w:tc>
          <w:tcPr>
            <w:tcW w:w="5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112,701</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120,640</w:t>
            </w:r>
          </w:p>
        </w:tc>
      </w:tr>
      <w:tr>
        <w:trPr>
          <w:trHeight w:val="20"/>
        </w:trPr>
        <w:tc>
          <w:tcPr>
            <w:tcW w:w="5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 Loan A Credit Agreement</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In July 2023, the Company entered into a Credit Agreement (the “TLA Credit Agreement”) with JPMorgan Chase Bank, N.A., as “Administrative Agent”, and certain lenders, which was subsequently amended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in September 2023. The TLA Credit Agreement, as amended, provides for a five-year senior secured term loan (the “TLA Term Loan”) in an aggregate principal amount of $200,000.</w:t>
      </w:r>
    </w:p>
    <w:p>
      <w:pPr>
        <w:spacing w:after="0" w:line="15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repayment schedule for the TLA Term Loan consists of quarterly $3,750 principal payments, which commenced on December 31, 2023, increasing to quarterly $5,000 principal payments beginning on December 31, 2025, with a $115,000 payment due on the maturity date of July 26, 2028. The TLA Term Loan bears interest at a per annum rate equal to, at the Company’s option, (i) a base rate plus a specified margin ranging from 2.50% to 3.00%, based on the Company’s senior secured net leverage ratio (as defined in the TLA Credit Agreement) or (ii) Term SOFR plus a credit spread adjustment of 0.10% plus a specified margin ranging from 3.50% to 4.00%, based on the Company’s senior secured net leverage ratio.</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net cash received related to the TLA Term Loan as a result of the transactions, less debt issuance costs of $ 2,997, was $197,003. The debt issuance costs related to the TLA Term Loan will be amortized as additional interest expense over the loan term of the TLA Credit Agreement. The fair value of the TLA Term Loan as of March 31, 2025, was $174,593.</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net consisted of the following: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15"/>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9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2024</w:t>
            </w: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Principal amount</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177,500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181,250</w:t>
            </w:r>
          </w:p>
        </w:tc>
      </w:tr>
      <w:tr>
        <w:trPr>
          <w:trHeight w:val="203"/>
        </w:trPr>
        <w:tc>
          <w:tcPr>
            <w:tcW w:w="5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Unamortized debt discount associated with debt financing costs</w:t>
            </w: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(1,818)</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(1,984)</w:t>
            </w: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debt, net</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175,682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179,266</w:t>
            </w:r>
          </w:p>
        </w:tc>
      </w:tr>
      <w:tr>
        <w:trPr>
          <w:trHeight w:val="203"/>
        </w:trPr>
        <w:tc>
          <w:tcPr>
            <w:tcW w:w="5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current portion</w:t>
            </w: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(17,500)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(16,250)</w:t>
            </w:r>
          </w:p>
        </w:tc>
      </w:tr>
      <w:tr>
        <w:trPr>
          <w:trHeight w:val="196"/>
        </w:trPr>
        <w:tc>
          <w:tcPr>
            <w:tcW w:w="59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net</w:t>
            </w:r>
          </w:p>
        </w:tc>
        <w:tc>
          <w:tcPr>
            <w:tcW w:w="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158,182</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163,016</w:t>
            </w:r>
          </w:p>
        </w:tc>
      </w:tr>
      <w:tr>
        <w:trPr>
          <w:trHeight w:val="20"/>
        </w:trPr>
        <w:tc>
          <w:tcPr>
            <w:tcW w:w="5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Future minimum payments relating to long-term debt, net as of March 31, 2025, for the periods indicated below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2025 (excluding the three months ended March 31, 2025)</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16"/>
        </w:trPr>
        <w:tc>
          <w:tcPr>
            <w:tcW w:w="7600" w:type="dxa"/>
            <w:vAlign w:val="bottom"/>
          </w:tcPr>
          <w:p>
            <w:pPr>
              <w:ind w:left="120"/>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2027</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7600" w:type="dxa"/>
            <w:vAlign w:val="bottom"/>
          </w:tcPr>
          <w:p>
            <w:pPr>
              <w:ind w:left="120"/>
              <w:spacing w:after="0"/>
              <w:rPr>
                <w:sz w:val="20"/>
                <w:szCs w:val="20"/>
                <w:color w:val="auto"/>
              </w:rPr>
            </w:pPr>
            <w:r>
              <w:rPr>
                <w:rFonts w:ascii="Arial" w:cs="Arial" w:eastAsia="Arial" w:hAnsi="Arial"/>
                <w:sz w:val="18"/>
                <w:szCs w:val="18"/>
                <w:color w:val="auto"/>
              </w:rPr>
              <w:t>2028</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125,000</w:t>
            </w:r>
          </w:p>
        </w:tc>
      </w:tr>
      <w:tr>
        <w:trPr>
          <w:trHeight w:val="216"/>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2029</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76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177,500</w:t>
            </w:r>
          </w:p>
        </w:tc>
      </w:tr>
      <w:tr>
        <w:trPr>
          <w:trHeight w:val="20"/>
        </w:trPr>
        <w:tc>
          <w:tcPr>
            <w:tcW w:w="7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Interest expense related to the Company’s long-term debt, net, is included in interest expense within the unaudited condensed consolidated statements of operations and comprehensive income and consisted of the following:</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66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3"/>
                <w:szCs w:val="13"/>
                <w:color w:val="auto"/>
              </w:rPr>
            </w:pPr>
          </w:p>
        </w:tc>
      </w:tr>
      <w:tr>
        <w:trPr>
          <w:trHeight w:val="196"/>
        </w:trPr>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on principal balance</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3,670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4,355</w:t>
            </w:r>
          </w:p>
        </w:tc>
        <w:tc>
          <w:tcPr>
            <w:tcW w:w="220" w:type="dxa"/>
            <w:vAlign w:val="bottom"/>
            <w:shd w:val="clear" w:color="auto" w:fill="CCEEFF"/>
          </w:tcPr>
          <w:p>
            <w:pPr>
              <w:spacing w:after="0"/>
              <w:rPr>
                <w:sz w:val="17"/>
                <w:szCs w:val="17"/>
                <w:color w:val="auto"/>
              </w:rPr>
            </w:pPr>
          </w:p>
        </w:tc>
      </w:tr>
      <w:tr>
        <w:trPr>
          <w:trHeight w:val="203"/>
        </w:trPr>
        <w:tc>
          <w:tcPr>
            <w:tcW w:w="6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Amortization of deferred financing costs</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w:t>
            </w:r>
          </w:p>
        </w:tc>
        <w:tc>
          <w:tcPr>
            <w:tcW w:w="220" w:type="dxa"/>
            <w:vAlign w:val="bottom"/>
            <w:tcBorders>
              <w:bottom w:val="single" w:sz="8" w:color="CCEEFF"/>
            </w:tcBorders>
          </w:tcPr>
          <w:p>
            <w:pPr>
              <w:spacing w:after="0"/>
              <w:rPr>
                <w:sz w:val="17"/>
                <w:szCs w:val="17"/>
                <w:color w:val="auto"/>
              </w:rPr>
            </w:pPr>
          </w:p>
        </w:tc>
      </w:tr>
      <w:tr>
        <w:trPr>
          <w:trHeight w:val="196"/>
        </w:trPr>
        <w:tc>
          <w:tcPr>
            <w:tcW w:w="668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term loan interest expense</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3,836</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4,535</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20"/>
        </w:trPr>
        <w:tc>
          <w:tcPr>
            <w:tcW w:w="6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LEASES</w:t>
      </w:r>
    </w:p>
    <w:p>
      <w:pPr>
        <w:spacing w:after="0" w:line="212"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In June 2018, the Company entered into an operating lease for approximately fifteen thousand square feet of office space in Plymouth Meeting, PA, which was set to expire in May 2024. The Company subsequently entered into two separate operating leases for additional office space in Plymouth Meeting, PA, which include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approximately thirteen thousand square feet and seven thousand square feet of additional office space, respectively, and were extended through June 2025. The terms of the lease payments provide for rental payments on a monthly basis and on a graduated scale. The Company also leases a fleet of automobiles that are primarily used by its sales force and are classified as operating leases.</w:t>
      </w:r>
    </w:p>
    <w:p>
      <w:pPr>
        <w:spacing w:after="0" w:line="174"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Operating lease right-of-use assets and operating lease liabilities are recognized based on the present value of the future lease payments using our incremental borrowing rate. Leases with an initial term of 12 months or less are not recorded on the balance sheet. Our leases have remaining lease terms of less than 1 year to 3 years, some of which may include the option to extend or terminate the leases.</w:t>
      </w:r>
    </w:p>
    <w:p>
      <w:pPr>
        <w:spacing w:after="0" w:line="17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Company recorded operating lease costs of $467 and $509 for the three months ended March 31, 2025, and 2024, respectively.</w:t>
      </w:r>
    </w:p>
    <w:p>
      <w:pPr>
        <w:spacing w:after="0" w:line="15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As of March 31, 2025, the weighted-average remaining lease term for operating leases was 1.6 years and the weighted-average discount rate for operating leases was 7.72%.</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balance sheet information related to operating leases was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20" w:type="dxa"/>
            <w:vAlign w:val="bottom"/>
          </w:tcPr>
          <w:p>
            <w:pPr>
              <w:ind w:left="1520"/>
              <w:spacing w:after="0"/>
              <w:rPr>
                <w:sz w:val="20"/>
                <w:szCs w:val="20"/>
                <w:color w:val="auto"/>
              </w:rPr>
            </w:pPr>
            <w:r>
              <w:rPr>
                <w:rFonts w:ascii="Arial" w:cs="Arial" w:eastAsia="Arial" w:hAnsi="Arial"/>
                <w:sz w:val="14"/>
                <w:szCs w:val="14"/>
                <w:b w:val="1"/>
                <w:bCs w:val="1"/>
                <w:color w:val="auto"/>
              </w:rPr>
              <w:t>Leases</w:t>
            </w:r>
          </w:p>
        </w:tc>
        <w:tc>
          <w:tcPr>
            <w:tcW w:w="2880" w:type="dxa"/>
            <w:vAlign w:val="bottom"/>
          </w:tcPr>
          <w:p>
            <w:pPr>
              <w:ind w:left="1060"/>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tcPr>
          <w:p>
            <w:pPr>
              <w:spacing w:after="0"/>
              <w:rPr>
                <w:sz w:val="14"/>
                <w:szCs w:val="14"/>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 2025   December 31, 2024</w:t>
            </w:r>
          </w:p>
        </w:tc>
      </w:tr>
      <w:tr>
        <w:trPr>
          <w:trHeight w:val="196"/>
        </w:trPr>
        <w:tc>
          <w:tcPr>
            <w:tcW w:w="33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3"/>
        </w:trPr>
        <w:tc>
          <w:tcPr>
            <w:tcW w:w="33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880" w:type="dxa"/>
            <w:vAlign w:val="bottom"/>
          </w:tcPr>
          <w:p>
            <w:pPr>
              <w:ind w:left="200"/>
              <w:spacing w:after="0" w:line="202" w:lineRule="exact"/>
              <w:rPr>
                <w:sz w:val="20"/>
                <w:szCs w:val="20"/>
                <w:color w:val="auto"/>
              </w:rPr>
            </w:pPr>
            <w:r>
              <w:rPr>
                <w:rFonts w:ascii="Arial" w:cs="Arial" w:eastAsia="Arial" w:hAnsi="Arial"/>
                <w:sz w:val="18"/>
                <w:szCs w:val="18"/>
                <w:color w:val="auto"/>
              </w:rPr>
              <w:t>Other noncurrent assets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1,726</w:t>
            </w:r>
          </w:p>
        </w:tc>
        <w:tc>
          <w:tcPr>
            <w:tcW w:w="80" w:type="dxa"/>
            <w:vAlign w:val="bottom"/>
          </w:tcPr>
          <w:p>
            <w:pPr>
              <w:spacing w:after="0"/>
              <w:rPr>
                <w:sz w:val="17"/>
                <w:szCs w:val="17"/>
                <w:color w:val="auto"/>
              </w:rPr>
            </w:pPr>
          </w:p>
        </w:tc>
        <w:tc>
          <w:tcPr>
            <w:tcW w:w="50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2,122</w:t>
            </w:r>
          </w:p>
        </w:tc>
      </w:tr>
      <w:tr>
        <w:trPr>
          <w:trHeight w:val="203"/>
        </w:trPr>
        <w:tc>
          <w:tcPr>
            <w:tcW w:w="3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w:t>
            </w: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33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2880" w:type="dxa"/>
            <w:vAlign w:val="bottom"/>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1,148</w:t>
            </w:r>
          </w:p>
        </w:tc>
        <w:tc>
          <w:tcPr>
            <w:tcW w:w="80" w:type="dxa"/>
            <w:vAlign w:val="bottom"/>
          </w:tcPr>
          <w:p>
            <w:pPr>
              <w:spacing w:after="0"/>
              <w:rPr>
                <w:sz w:val="17"/>
                <w:szCs w:val="17"/>
                <w:color w:val="auto"/>
              </w:rPr>
            </w:pPr>
          </w:p>
        </w:tc>
        <w:tc>
          <w:tcPr>
            <w:tcW w:w="50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1,318</w:t>
            </w:r>
          </w:p>
        </w:tc>
      </w:tr>
      <w:tr>
        <w:trPr>
          <w:trHeight w:val="202"/>
        </w:trPr>
        <w:tc>
          <w:tcPr>
            <w:tcW w:w="3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liability, long-term</w:t>
            </w:r>
          </w:p>
        </w:tc>
        <w:tc>
          <w:tcPr>
            <w:tcW w:w="2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634</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822</w:t>
            </w:r>
          </w:p>
        </w:tc>
      </w:tr>
      <w:tr>
        <w:trPr>
          <w:trHeight w:val="196"/>
        </w:trPr>
        <w:tc>
          <w:tcPr>
            <w:tcW w:w="3320" w:type="dxa"/>
            <w:vAlign w:val="bottom"/>
          </w:tcPr>
          <w:p>
            <w:pPr>
              <w:ind w:left="260"/>
              <w:spacing w:after="0" w:line="196" w:lineRule="exact"/>
              <w:rPr>
                <w:sz w:val="20"/>
                <w:szCs w:val="20"/>
                <w:color w:val="auto"/>
              </w:rPr>
            </w:pPr>
            <w:r>
              <w:rPr>
                <w:rFonts w:ascii="Arial" w:cs="Arial" w:eastAsia="Arial" w:hAnsi="Arial"/>
                <w:sz w:val="18"/>
                <w:szCs w:val="18"/>
                <w:color w:val="auto"/>
              </w:rPr>
              <w:t>Total operating lease liabilities</w:t>
            </w:r>
          </w:p>
        </w:tc>
        <w:tc>
          <w:tcPr>
            <w:tcW w:w="28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1,782</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2,140</w:t>
            </w:r>
          </w:p>
        </w:tc>
      </w:tr>
      <w:tr>
        <w:trPr>
          <w:trHeight w:val="20"/>
        </w:trPr>
        <w:tc>
          <w:tcPr>
            <w:tcW w:w="33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2025</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March 31, 2024</w:t>
            </w:r>
          </w:p>
        </w:tc>
      </w:tr>
      <w:tr>
        <w:trPr>
          <w:trHeight w:val="196"/>
        </w:trPr>
        <w:tc>
          <w:tcPr>
            <w:tcW w:w="61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430</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561</w:t>
            </w:r>
          </w:p>
        </w:tc>
      </w:tr>
      <w:tr>
        <w:trPr>
          <w:trHeight w:val="239"/>
        </w:trPr>
        <w:tc>
          <w:tcPr>
            <w:tcW w:w="6160" w:type="dxa"/>
            <w:vAlign w:val="bottom"/>
          </w:tcPr>
          <w:p>
            <w:pPr>
              <w:ind w:left="20"/>
              <w:spacing w:after="0"/>
              <w:rPr>
                <w:sz w:val="20"/>
                <w:szCs w:val="20"/>
                <w:color w:val="auto"/>
              </w:rPr>
            </w:pPr>
            <w:r>
              <w:rPr>
                <w:rFonts w:ascii="Arial" w:cs="Arial" w:eastAsia="Arial" w:hAnsi="Arial"/>
                <w:sz w:val="18"/>
                <w:szCs w:val="18"/>
                <w:color w:val="auto"/>
              </w:rPr>
              <w:t>Right of use assets obtained in exchange for operating lease obligations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1,198</w:t>
            </w:r>
          </w:p>
        </w:tc>
      </w:tr>
    </w:tbl>
    <w:p>
      <w:pPr>
        <w:spacing w:after="0" w:line="323"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Future payments under non-cancelable operating leases with initial terms of one year or more as of March 31, 2025,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2025 (excluding the three months ended March 31, 2025)</w:t>
            </w:r>
          </w:p>
        </w:tc>
        <w:tc>
          <w:tcPr>
            <w:tcW w:w="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20"/>
              <w:spacing w:after="0" w:line="202" w:lineRule="exact"/>
              <w:rPr>
                <w:sz w:val="20"/>
                <w:szCs w:val="20"/>
                <w:color w:val="auto"/>
              </w:rPr>
            </w:pPr>
            <w:r>
              <w:rPr>
                <w:rFonts w:ascii="Arial" w:cs="Arial" w:eastAsia="Arial" w:hAnsi="Arial"/>
                <w:sz w:val="18"/>
                <w:szCs w:val="18"/>
                <w:color w:val="auto"/>
              </w:rPr>
              <w:t>2026</w:t>
            </w:r>
          </w:p>
        </w:tc>
        <w:tc>
          <w:tcPr>
            <w:tcW w:w="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2027</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120"/>
              <w:spacing w:after="0" w:line="202" w:lineRule="exact"/>
              <w:rPr>
                <w:sz w:val="20"/>
                <w:szCs w:val="20"/>
                <w:color w:val="auto"/>
              </w:rPr>
            </w:pPr>
            <w:r>
              <w:rPr>
                <w:rFonts w:ascii="Arial" w:cs="Arial" w:eastAsia="Arial" w:hAnsi="Arial"/>
                <w:sz w:val="18"/>
                <w:szCs w:val="18"/>
                <w:color w:val="auto"/>
              </w:rPr>
              <w:t>2028</w:t>
            </w:r>
          </w:p>
        </w:tc>
        <w:tc>
          <w:tcPr>
            <w:tcW w:w="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2029</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lease liabilities</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ind w:left="4360"/>
              <w:spacing w:after="0"/>
              <w:rPr>
                <w:sz w:val="20"/>
                <w:szCs w:val="20"/>
                <w:color w:val="auto"/>
              </w:rPr>
            </w:pPr>
            <w:r>
              <w:rPr>
                <w:rFonts w:ascii="Arial" w:cs="Arial" w:eastAsia="Arial" w:hAnsi="Arial"/>
                <w:sz w:val="18"/>
                <w:szCs w:val="18"/>
                <w:color w:val="auto"/>
              </w:rPr>
              <w:t>18</w:t>
            </w: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7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7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5319" w:hanging="650"/>
        <w:spacing w:after="0" w:line="513" w:lineRule="auto"/>
        <w:tabs>
          <w:tab w:leader="none" w:pos="352"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Legal Proceedings</w:t>
      </w:r>
    </w:p>
    <w:p>
      <w:pPr>
        <w:spacing w:after="0" w:line="1"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 xml:space="preserve">From </w:t>
      </w:r>
      <w:r>
        <w:rPr>
          <w:rFonts w:ascii="Arial" w:cs="Arial" w:eastAsia="Arial" w:hAnsi="Arial"/>
          <w:sz w:val="18"/>
          <w:szCs w:val="18"/>
          <w:color w:val="212529"/>
        </w:rPr>
        <w:t>time to time, the Company is subject to claims and suits arising in the ordinary course of</w:t>
      </w:r>
      <w:r>
        <w:rPr>
          <w:rFonts w:ascii="Arial" w:cs="Arial" w:eastAsia="Arial" w:hAnsi="Arial"/>
          <w:sz w:val="18"/>
          <w:szCs w:val="18"/>
          <w:color w:val="auto"/>
        </w:rPr>
        <w:t xml:space="preserve"> </w:t>
      </w:r>
      <w:r>
        <w:rPr>
          <w:rFonts w:ascii="Arial" w:cs="Arial" w:eastAsia="Arial" w:hAnsi="Arial"/>
          <w:sz w:val="18"/>
          <w:szCs w:val="18"/>
          <w:color w:val="212529"/>
        </w:rPr>
        <w:t>business. The Company accrues such liabilities when they are known, if they are deemed probable and can be reasonably estimated. Accruals may be adjusted from time to time, as appropriate, in light of new information. The amount of loss incurred in relation to matters for which an accrual has been established may be higher or lower than the amounts accrued. Any expenses, fines, fees, penalties, judgments or settlements that might be incurred by the Company in connection with proceedings could have a material adverse effect on the Company’s results of operations and financial condition. As of March 31, 2025, there were no material claims or lawsuits outstanding other than the ANDA litigation discussed below</w:t>
      </w:r>
      <w:r>
        <w:rPr>
          <w:rFonts w:ascii="Arial" w:cs="Arial" w:eastAsia="Arial" w:hAnsi="Arial"/>
          <w:sz w:val="18"/>
          <w:szCs w:val="18"/>
          <w:color w:val="000000"/>
        </w:rPr>
        <w: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Abbreviated New Drug Application (“ANDA”) Litigation</w:t>
      </w:r>
    </w:p>
    <w:p>
      <w:pPr>
        <w:spacing w:after="0" w:line="198"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212529"/>
        </w:rPr>
        <w:t xml:space="preserve">On September 27, 2023, the Company and its licensor, Bioprojet, received notice from Lupin Limited (“Lupin”)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“Lupin Notice Letter”) that Lupin has submitted ANDA No. 218846 (the “Lupin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U.S. Patent Nos. 8,486,947 (“’947 patent”) and 8,207,197 (“’197 patent”). On September 27, 2023, the Company and Bioprojet received notice from Novugen Pharma Sdn. Bhd. (“Novugen”)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“Novugen Notice Letter”) that Novugen has submitted ANDA No. 218834 (the “Novugen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the ’947 patent and ’197 patent. The ’947 patent and the ‘197 patent are listed with respect to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in the FDA’s Orange Book and will expire in September 2029 and March 2030, respectively. The Lupin Notice Letter and the Novugen Notice Letter assert that their generic product will not infringe the ’947 patent and the ‘197 patent and/or that the ’947 patent and the ‘197 patent are invalid or unenforceable. On November 9, 2023, we, Bioprojet and Bioprojet’s wholly owned subsidiary, Bioprojet Pharma SAS (“Bioprojet Pharma”), filed a complaint for patent infringement of the ’947 patent and the ‘197 patent against Lupin, Novugen and certain of their affiliates and agents in the United States District Court for the District of Delaware in response to the filing of their respective ANDAs with the FDA.</w:t>
      </w:r>
    </w:p>
    <w:p>
      <w:pPr>
        <w:spacing w:after="0" w:line="6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212529"/>
        </w:rPr>
        <w:t xml:space="preserve">On October 12, 2023, the Company and Bioprojet received notice from Novitium Pharma LLC (“Novitium”),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“Novitium Notice Letter”), that Novitium has submitted ANDA No. 218495 (the “Novitium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U.S. Patent No. 8,354,430 (the “’430 patent”), which is also listed with respect to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in the FDA’s Orange Book and will expire in February 2026, ’947 patent, and ’197 patent. On October 12, 2023, the Company and Bioprojet received notice from Zenara Pharma Pvt. Ltd. (“Zenara”),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w:t>
      </w:r>
      <w:r>
        <w:rPr>
          <w:rFonts w:ascii="Arial" w:cs="Arial" w:eastAsia="Arial" w:hAnsi="Arial"/>
          <w:sz w:val="18"/>
          <w:szCs w:val="18"/>
          <w:color w:val="212529"/>
        </w:rPr>
        <w:t xml:space="preserve"> </w:t>
      </w:r>
      <w:r>
        <w:rPr>
          <w:rFonts w:ascii="Arial" w:cs="Arial" w:eastAsia="Arial" w:hAnsi="Arial"/>
          <w:sz w:val="18"/>
          <w:szCs w:val="18"/>
          <w:i w:val="1"/>
          <w:iCs w:val="1"/>
          <w:color w:val="212529"/>
        </w:rPr>
        <w:t xml:space="preserve">seq. </w:t>
      </w:r>
      <w:r>
        <w:rPr>
          <w:rFonts w:ascii="Arial" w:cs="Arial" w:eastAsia="Arial" w:hAnsi="Arial"/>
          <w:sz w:val="18"/>
          <w:szCs w:val="18"/>
          <w:color w:val="212529"/>
        </w:rPr>
        <w:t>(the “Zenara Notice Letter”), that Zenara has submitted ANDA No. 218796 (the “Zenara ANDA”) to the</w:t>
      </w:r>
      <w:r>
        <w:rPr>
          <w:rFonts w:ascii="Arial" w:cs="Arial" w:eastAsia="Arial" w:hAnsi="Arial"/>
          <w:sz w:val="18"/>
          <w:szCs w:val="18"/>
          <w:i w:val="1"/>
          <w:iCs w:val="1"/>
          <w:color w:val="212529"/>
        </w:rPr>
        <w:t xml:space="preserve"> </w:t>
      </w:r>
      <w:r>
        <w:rPr>
          <w:rFonts w:ascii="Arial" w:cs="Arial" w:eastAsia="Arial" w:hAnsi="Arial"/>
          <w:sz w:val="18"/>
          <w:szCs w:val="18"/>
          <w:color w:val="212529"/>
        </w:rPr>
        <w:t>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the ’430 patent, ’947 patent and the ’197 patent. On October 14, 2023, the Company and Bioprojet received notice from AET Pharma US, Inc. (“AET”),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“AET Notice Letter”), that AET has submitted ANDA No. 218892 (the “AET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the ’947 patent and the ’197 patent. On October 16, 2023, the Company and Bioprojet received notice from Annora Pharma Private Limited (“Annora”),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“Annora Notice Letter”), that Annora has submitted ANDA No. 218832 (the “Annora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the ’430 patent, the ’947 patent and the ’197 patent. AET’s Notice Letter asserts that AET’s generic product will not infringe the ’947 patent and the ‘197 patent and/or that ’947 patent and the ‘197 patent are invalid or unenforceable. The Annora Notice Letter asserts that its generic product will not infringe the ‘430 patent, ’947 patent and the ‘197 patent and/or that the ‘430 patent, ’947 patent and the ‘197 patent are invalid or unenforceable. The Novitium Notice Letter asserts that its generic product will not infringe the ‘430 patent, ’947 patent and the ‘197 patent and/or that the ‘430 patent, ’947 patent and the ‘197 patent are invalid or unenforceable. The Zenara Notice Letter asserts that its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212529"/>
        </w:rPr>
        <w:t>generic product will not infringe the ‘430 patent, ’947 patent and the ‘197 patent and/or that the ‘430 patent, ’947 patent and the ‘197 patent are invalid or unenforceable. On November 21, 2023, the Company, Bioprojet and Bioprojet Pharma filed a complaint for patent infringement of the ’947 patent and the ‘197 patent against AET, Annora, Novitium and Zenara and certain of their affiliates and agents and for patent infringement of the ’430 patent against Annora, Novitium and Zenara and certain of their affiliates and agents in the United States District Court for the District of Delaware in response to their filing of their respective ANDAs with the FDA.</w:t>
      </w:r>
    </w:p>
    <w:p>
      <w:pPr>
        <w:spacing w:after="0" w:line="57"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212529"/>
        </w:rPr>
        <w:t>In October 2023, MSN Pharmaceuticals Inc. (“MSN Pharma”) sent correspondence to the Company and Bioprojet stating that MSN Pharma has submitted ANDA No. 218873 (the “MSN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0"/>
          <w:szCs w:val="10"/>
          <w:color w:val="212529"/>
          <w:vertAlign w:val="subscript"/>
        </w:rPr>
        <w:t>.</w:t>
      </w:r>
      <w:r>
        <w:rPr>
          <w:rFonts w:ascii="Arial" w:cs="Arial" w:eastAsia="Arial" w:hAnsi="Arial"/>
          <w:sz w:val="18"/>
          <w:szCs w:val="18"/>
          <w:color w:val="212529"/>
        </w:rPr>
        <w:t xml:space="preserve"> On December 8, 2023, MSN Laboratories Private Limited (“MSN”) filed a declaratory judgment action in the United States District Court for the Eastern District of Virginia against Bioprojet claiming that the ‘430 patent, the ’947 patent and the ‘197 patent will not be infringed by MSN’s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and that the ‘947 patent is invalid. On December 11, 2023, we, Bioprojet and Bioprojet Pharma filed a complaint in the United States District Court for the District of Delaware for patent infringement of the ‘430 patent, the ’947 patent and the ‘197 patent against MSN and MSN Pharma. On January 12, 2024, the declaratory judgment action was transferred from the United States District Court for the Eastern District of Virginia to the United States District Court for the District of Delaware.</w:t>
      </w:r>
    </w:p>
    <w:p>
      <w:pPr>
        <w:spacing w:after="0" w:line="18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212529"/>
        </w:rPr>
        <w:t>On April 15, 2024, the United States District Court for the District of Delaware issued a scheduling order consolidating the cases described above for all purposes up to and including trial (the “Scheduling Order”). The Scheduling Order set March 27, 2025, as the date for the hearing on claim construction and scheduled a four-day bench trial beginning on February 17, 2026.</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color w:val="212529"/>
        </w:rPr>
        <w:t>On August 7, 2024, the Company and Bioprojet received further notice from AET pursuant to 21 U.S.C.</w:t>
      </w:r>
    </w:p>
    <w:p>
      <w:pPr>
        <w:spacing w:after="0" w:line="14" w:lineRule="exact"/>
        <w:rPr>
          <w:sz w:val="20"/>
          <w:szCs w:val="20"/>
          <w:color w:val="auto"/>
        </w:rPr>
      </w:pPr>
    </w:p>
    <w:p>
      <w:pPr>
        <w:jc w:val="both"/>
        <w:ind w:left="60" w:right="59" w:hanging="10"/>
        <w:spacing w:after="0" w:line="234" w:lineRule="auto"/>
        <w:tabs>
          <w:tab w:leader="none" w:pos="224" w:val="left"/>
        </w:tabs>
        <w:numPr>
          <w:ilvl w:val="0"/>
          <w:numId w:val="8"/>
        </w:numPr>
        <w:rPr>
          <w:rFonts w:ascii="Arial" w:cs="Arial" w:eastAsia="Arial" w:hAnsi="Arial"/>
          <w:sz w:val="18"/>
          <w:szCs w:val="18"/>
          <w:color w:val="212529"/>
        </w:rPr>
      </w:pPr>
      <w:r>
        <w:rPr>
          <w:rFonts w:ascii="Arial" w:cs="Arial" w:eastAsia="Arial" w:hAnsi="Arial"/>
          <w:sz w:val="18"/>
          <w:szCs w:val="18"/>
          <w:color w:val="212529"/>
        </w:rPr>
        <w:t xml:space="preserve">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(the “Second AET Notice Letter”) that AET has submitted the AET ANDA to the FDA and is seeking regulatory approval to market a generic version of WAKIX</w:t>
      </w:r>
      <w:r>
        <w:rPr>
          <w:rFonts w:ascii="Arial" w:cs="Arial" w:eastAsia="Arial" w:hAnsi="Arial"/>
          <w:sz w:val="20"/>
          <w:szCs w:val="20"/>
          <w:color w:val="212529"/>
          <w:vertAlign w:val="superscript"/>
        </w:rPr>
        <w:t>®</w:t>
      </w:r>
      <w:r>
        <w:rPr>
          <w:rFonts w:ascii="Arial" w:cs="Arial" w:eastAsia="Arial" w:hAnsi="Arial"/>
          <w:sz w:val="18"/>
          <w:szCs w:val="18"/>
          <w:color w:val="212529"/>
        </w:rPr>
        <w:t xml:space="preserve"> before the expiration of the ‘947 patent and the ‘197 patent. The Second AET Notice Letter asserts that its generic product will not infringe the ’947 patent and the ‘197 patent and/or that the ’947 patent and the ‘197 patent are invalid or unenforceable. On August 13, 2024, we, Bioprojet and Bioprojet Pharma filed a complaint in the United States District Court for the District of Delaware for patent infringement of the ’947 patent and the ‘197 patent against AET.</w:t>
      </w:r>
    </w:p>
    <w:p>
      <w:pPr>
        <w:spacing w:after="0" w:line="167"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212529"/>
        </w:rPr>
        <w:t>On October 31, 2024, the Company reached an agreement with Novugen Pharma to resolve the dispute over Novugen’s ANDA for a generic pitolisant hydrochloride product. Under the terms of the settlement agreement, the litigation between the parties in the United States District Court for the District of Delaware was ended on November 4, 2024, and Novugen will have a license to sell its generic product beginning January 2030, or earlier under certain circumstances.</w:t>
      </w:r>
    </w:p>
    <w:p>
      <w:pPr>
        <w:spacing w:after="0" w:line="163"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212529"/>
        </w:rPr>
        <w:t xml:space="preserve">On December 12, 2024, the Company and Bioprojet received further notice from Lupin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(the “Second Lupin Notice Letter”) that Lupin has submitted the Lupin ANDA to the FDA and is seeking regulatory approval to market a generic version of WAKIX</w:t>
      </w:r>
      <w:r>
        <w:rPr>
          <w:rFonts w:ascii="Arial" w:cs="Arial" w:eastAsia="Arial" w:hAnsi="Arial"/>
          <w:sz w:val="20"/>
          <w:szCs w:val="20"/>
          <w:color w:val="212529"/>
          <w:vertAlign w:val="superscript"/>
        </w:rPr>
        <w:t>®</w:t>
      </w:r>
      <w:r>
        <w:rPr>
          <w:rFonts w:ascii="Arial" w:cs="Arial" w:eastAsia="Arial" w:hAnsi="Arial"/>
          <w:sz w:val="18"/>
          <w:szCs w:val="18"/>
          <w:color w:val="212529"/>
        </w:rPr>
        <w:t xml:space="preserve"> before the expiration of the ‘947 patent and the ‘197 patent. The Second Lupin Notice Letter asserts that its generic product will not infringe the ’947 patent and the ‘197 patent and/or that the ’947 patent and the ‘197 patent are invalid or unenforceable. On January 24, 2025, we, Bioprojet and Bioprojet Pharma filed a complaint in the United States District Court for the District of Delaware for patent infringement of the ’947 patent and the ‘197 patent against Lupin.</w:t>
      </w:r>
    </w:p>
    <w:p>
      <w:pPr>
        <w:spacing w:after="0" w:line="226" w:lineRule="exact"/>
        <w:rPr>
          <w:sz w:val="20"/>
          <w:szCs w:val="20"/>
          <w:color w:val="auto"/>
        </w:rPr>
      </w:pPr>
    </w:p>
    <w:p>
      <w:pPr>
        <w:ind w:left="60" w:right="79" w:firstLine="648"/>
        <w:spacing w:after="0" w:line="244" w:lineRule="auto"/>
        <w:rPr>
          <w:sz w:val="20"/>
          <w:szCs w:val="20"/>
          <w:color w:val="auto"/>
        </w:rPr>
      </w:pPr>
      <w:r>
        <w:rPr>
          <w:rFonts w:ascii="Arial" w:cs="Arial" w:eastAsia="Arial" w:hAnsi="Arial"/>
          <w:sz w:val="18"/>
          <w:szCs w:val="18"/>
          <w:color w:val="auto"/>
        </w:rPr>
        <w:t>On March 24, 2025, the Company reached an agreement with Annora to resolve the dispute over Annora’s ANDA for a generic pitolisant hydrochloride product. Under the terms of the settlement agreement, the litigation between the parties in the United States District Court for the District of Delaware was ended on March 31, 2025, and Annora will have a license to sell its generic product beginning January 2030, or earlier under certain circumstances.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8"/>
          <w:szCs w:val="18"/>
          <w:color w:val="auto"/>
        </w:rPr>
        <w:t>The resolution of one or more of these matters against the Company could have a significant negative effect on the Company’s results of operations.</w:t>
      </w:r>
    </w:p>
    <w:p>
      <w:pPr>
        <w:spacing w:after="0" w:line="167" w:lineRule="exact"/>
        <w:rPr>
          <w:sz w:val="20"/>
          <w:szCs w:val="20"/>
          <w:color w:val="auto"/>
        </w:rPr>
      </w:pPr>
    </w:p>
    <w:p>
      <w:pPr>
        <w:ind w:left="700" w:right="6399" w:hanging="650"/>
        <w:spacing w:after="0" w:line="513" w:lineRule="auto"/>
        <w:tabs>
          <w:tab w:leader="none" w:pos="352"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spacing w:after="0" w:line="1"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holders of common stock are entitled to one vote for each share held on all matters submitted to a vote of the Company’s stockholders. The holders of common stock do not have any cumulative voting rights. Holders of common stock are entitled to receive any dividends declared by the Company’s board of directors out of funds legally available for that purpose, subject to any preferential dividend rights of any outstanding preferred stock. The Company’s common stock has no preemptive rights, conversion rights or other subscription rights or redemption or sinking fund provisions.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 Repurchase Program</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October 2023, the Company’s Board of Directors approved a share repurchase program (the “October 2023 Repurchase Program”) providing for the repurchase of shares of common stock in an aggregate amount of up to $200,000, excluding commissions and transaction fees. The October 2023 Repurchase Program may be suspended, terminated, or modified at any time for any reason. During the three months ended March 31, 2025, and 2024, no shares of common stock were repurchased and cancelled by the Company under the October 2023 Repurchase Program. As of March 31, 2025, the remaining amount of common stock authorized for repurchases was $150,000.</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STOCK INCENTIVE PLAN AND STOCK-BASED COMPENSATION</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2020 Stock Incentive Plan</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August 2020, the Company adopted, and its stockholders approved, the 2020 Incentive Award Plan (the “2020 Plan”), in order to facilitate the grant of cash and equity incentives to directors, employees (including the Company’s named executive officers) and consultants of the Company and its subsidiaries. The 2020 Plan provides for the grant of stock options, including incentive stock options (“ISOs”) and non-qualified stock options (“NSOs”), SARs, restricted stock, dividend equivalents, restricted stock units (“RSUs”) and other stock or cash-based awards.</w:t>
      </w:r>
    </w:p>
    <w:p>
      <w:pPr>
        <w:spacing w:after="0" w:line="17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Stock options and stock appreciation rights under the 2020 Plan have a 10-year contractual term and vest over the vesting period specified in the applicable award agreement, at achievement of a performance requirement, or upon change of control (as defined in the applicable plan). RSUs vest over the vesting period specified in the applicable award agreement, at achievement of a performance requirement, or upon change of control (as defined in the applicable plan). As of March 31, 2025, there were 8,777,657 shares of common stock available for issuance under the 2020 Plan. The number of shares that may be issued under the 2020 Plan automatically increases on January 1 of each year in an amount equal to the lesser of (i) 4.0% of the shares of the Company’s common stock outstanding on December 31 of the preceding year or (ii) an amount determined by the Company’s board of directors.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2017 Stock Incentive Plan</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August 2017, the Company adopted an equity incentive plan (the “2017 Plan”). Under the 2017 Plan, directors, officers, employees, consultants, and advisors of the Company can be paid incentive compensation measured by the value of the Company’s shares of common stock through grants of stock options, stock appreciation rights (“SARs”), or restricted stock. Following the adoption of the 2020 Plan, no further grants have been, or will be, made under the 2017 Plan. However, the 2017 Plan will continue to govern the terms and conditions of outstanding awards granted under it.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summarizes stock option activity for the three months ended March 31, 2025:</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Weighted-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Average</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Remaining</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 of</w:t>
            </w: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Price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2024</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7,157,235</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$ 32.48</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6.72</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1,037,900</w:t>
            </w:r>
          </w:p>
        </w:tc>
        <w:tc>
          <w:tcPr>
            <w:tcW w:w="16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$ 37.96</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(184,681)</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$ 25.48</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(30,835)</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$ 31.75</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outstanding—March 31, 2025</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7,979,619</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$ 33.36</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6.90</w:t>
            </w:r>
          </w:p>
        </w:tc>
        <w:tc>
          <w:tcPr>
            <w:tcW w:w="300" w:type="dxa"/>
            <w:vAlign w:val="bottom"/>
            <w:tcBorders>
              <w:top w:val="single" w:sz="8" w:color="CCEEFF"/>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36,928</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8"/>
                <w:szCs w:val="18"/>
                <w:color w:val="auto"/>
              </w:rPr>
              <w:t>Awards exercisable—March 31, 2025</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4,670,534</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32.15</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5.84</w:t>
            </w:r>
          </w:p>
        </w:tc>
        <w:tc>
          <w:tcPr>
            <w:tcW w:w="28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29,531</w:t>
            </w:r>
          </w:p>
        </w:tc>
        <w:tc>
          <w:tcPr>
            <w:tcW w:w="0" w:type="dxa"/>
            <w:vAlign w:val="bottom"/>
          </w:tcPr>
          <w:p>
            <w:pPr>
              <w:spacing w:after="0"/>
              <w:rPr>
                <w:sz w:val="1"/>
                <w:szCs w:val="1"/>
                <w:color w:val="auto"/>
              </w:rPr>
            </w:pPr>
          </w:p>
        </w:tc>
      </w:tr>
      <w:tr>
        <w:trPr>
          <w:trHeight w:val="183"/>
        </w:trPr>
        <w:tc>
          <w:tcPr>
            <w:tcW w:w="490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8"/>
                <w:szCs w:val="18"/>
                <w:color w:val="auto"/>
              </w:rPr>
              <w:t>Awards unvested—March 31, 2025</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3,309,085</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35.06</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8.39</w:t>
            </w:r>
          </w:p>
        </w:tc>
        <w:tc>
          <w:tcPr>
            <w:tcW w:w="28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7,397</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weighted-average grant-date fair value of stock options granted during the three months ended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2025, was $25.50. The total intrinsic value of stock options exercised for the three months ended</w:t>
      </w:r>
    </w:p>
    <w:p>
      <w:pPr>
        <w:ind w:left="60"/>
        <w:spacing w:after="0"/>
        <w:rPr>
          <w:sz w:val="20"/>
          <w:szCs w:val="20"/>
          <w:color w:val="auto"/>
        </w:rPr>
      </w:pPr>
      <w:r>
        <w:rPr>
          <w:rFonts w:ascii="Arial" w:cs="Arial" w:eastAsia="Arial" w:hAnsi="Arial"/>
          <w:sz w:val="18"/>
          <w:szCs w:val="18"/>
          <w:color w:val="auto"/>
        </w:rPr>
        <w:t>March 31, 2025, was $2,157.</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Appreciation Rights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SARs activity for the three months ended March 31, 2025:</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5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5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Average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Intrinsic</w:t>
            </w:r>
          </w:p>
        </w:tc>
      </w:tr>
      <w:tr>
        <w:trPr>
          <w:trHeight w:val="171"/>
        </w:trPr>
        <w:tc>
          <w:tcPr>
            <w:tcW w:w="5100" w:type="dxa"/>
            <w:vAlign w:val="bottom"/>
          </w:tcPr>
          <w:p>
            <w:pPr>
              <w:spacing w:after="0"/>
              <w:rPr>
                <w:sz w:val="14"/>
                <w:szCs w:val="14"/>
                <w:color w:val="auto"/>
              </w:rPr>
            </w:pPr>
          </w:p>
        </w:tc>
        <w:tc>
          <w:tcPr>
            <w:tcW w:w="720" w:type="dxa"/>
            <w:vAlign w:val="bottom"/>
          </w:tcPr>
          <w:p>
            <w:pPr>
              <w:jc w:val="right"/>
              <w:ind w:right="15"/>
              <w:spacing w:after="0"/>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Price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Term</w:t>
            </w: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r>
      <w:tr>
        <w:trPr>
          <w:trHeight w:val="196"/>
        </w:trPr>
        <w:tc>
          <w:tcPr>
            <w:tcW w:w="51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2024</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43,208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w:t>
            </w: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03"/>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51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ind w:left="1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r>
      <w:tr>
        <w:trPr>
          <w:trHeight w:val="196"/>
        </w:trPr>
        <w:tc>
          <w:tcPr>
            <w:tcW w:w="51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outstanding—March 31, 2025</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43,208</w:t>
            </w:r>
          </w:p>
        </w:tc>
        <w:tc>
          <w:tcPr>
            <w:tcW w:w="280" w:type="dxa"/>
            <w:vAlign w:val="bottom"/>
            <w:tcBorders>
              <w:bottom w:val="single" w:sz="8" w:color="CCEEFF"/>
            </w:tcBorders>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4.08</w:t>
            </w:r>
          </w:p>
        </w:tc>
        <w:tc>
          <w:tcPr>
            <w:tcW w:w="2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681</w:t>
            </w:r>
          </w:p>
        </w:tc>
      </w:tr>
      <w:tr>
        <w:trPr>
          <w:trHeight w:val="20"/>
        </w:trPr>
        <w:tc>
          <w:tcPr>
            <w:tcW w:w="5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5100" w:type="dxa"/>
            <w:vAlign w:val="bottom"/>
          </w:tcPr>
          <w:p>
            <w:pPr>
              <w:ind w:left="20"/>
              <w:spacing w:after="0" w:line="183" w:lineRule="exact"/>
              <w:rPr>
                <w:sz w:val="20"/>
                <w:szCs w:val="20"/>
                <w:color w:val="auto"/>
              </w:rPr>
            </w:pPr>
            <w:r>
              <w:rPr>
                <w:rFonts w:ascii="Arial" w:cs="Arial" w:eastAsia="Arial" w:hAnsi="Arial"/>
                <w:sz w:val="18"/>
                <w:szCs w:val="18"/>
                <w:color w:val="auto"/>
              </w:rPr>
              <w:t>Awards exercisable—March 31, 2025</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41,382</w:t>
            </w:r>
          </w:p>
        </w:tc>
        <w:tc>
          <w:tcPr>
            <w:tcW w:w="280" w:type="dxa"/>
            <w:vAlign w:val="bottom"/>
            <w:gridSpan w:val="2"/>
          </w:tcPr>
          <w:p>
            <w:pPr>
              <w:ind w:left="180"/>
              <w:spacing w:after="0" w:line="18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9.19</w:t>
            </w:r>
          </w:p>
        </w:tc>
        <w:tc>
          <w:tcPr>
            <w:tcW w:w="16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4.02</w:t>
            </w:r>
          </w:p>
        </w:tc>
        <w:tc>
          <w:tcPr>
            <w:tcW w:w="28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665</w:t>
            </w:r>
          </w:p>
        </w:tc>
      </w:tr>
      <w:tr>
        <w:trPr>
          <w:trHeight w:val="20"/>
        </w:trPr>
        <w:tc>
          <w:tcPr>
            <w:tcW w:w="5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Restricted Stock Units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RSU activity for the three months ended March 31, 2025:</w:t>
      </w:r>
    </w:p>
    <w:p>
      <w:pPr>
        <w:spacing w:after="0" w:line="38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53"/>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80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Grant Date</w:t>
            </w:r>
          </w:p>
        </w:tc>
      </w:tr>
      <w:tr>
        <w:trPr>
          <w:trHeight w:val="171"/>
        </w:trPr>
        <w:tc>
          <w:tcPr>
            <w:tcW w:w="68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Awards</w:t>
            </w:r>
          </w:p>
        </w:tc>
        <w:tc>
          <w:tcPr>
            <w:tcW w:w="2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2024</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638,900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30.90</w:t>
            </w:r>
          </w:p>
        </w:tc>
      </w:tr>
      <w:tr>
        <w:trPr>
          <w:trHeight w:val="202"/>
        </w:trPr>
        <w:tc>
          <w:tcPr>
            <w:tcW w:w="6800" w:type="dxa"/>
            <w:vAlign w:val="bottom"/>
          </w:tcPr>
          <w:p>
            <w:pPr>
              <w:spacing w:after="0" w:line="202" w:lineRule="exact"/>
              <w:rPr>
                <w:sz w:val="20"/>
                <w:szCs w:val="20"/>
                <w:color w:val="auto"/>
              </w:rPr>
            </w:pPr>
            <w:r>
              <w:rPr>
                <w:rFonts w:ascii="Arial" w:cs="Arial" w:eastAsia="Arial" w:hAnsi="Arial"/>
                <w:sz w:val="18"/>
                <w:szCs w:val="18"/>
                <w:color w:val="auto"/>
              </w:rPr>
              <w:t>Awards issued</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428,650</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38.25</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vested</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(121,521)</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30.46</w:t>
            </w:r>
          </w:p>
        </w:tc>
      </w:tr>
      <w:tr>
        <w:trPr>
          <w:trHeight w:val="203"/>
        </w:trPr>
        <w:tc>
          <w:tcPr>
            <w:tcW w:w="6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Awards forfeited</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(1,777)</w:t>
            </w:r>
          </w:p>
        </w:tc>
        <w:tc>
          <w:tcPr>
            <w:tcW w:w="30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30.69</w:t>
            </w:r>
          </w:p>
        </w:tc>
      </w:tr>
      <w:tr>
        <w:trPr>
          <w:trHeight w:val="196"/>
        </w:trPr>
        <w:tc>
          <w:tcPr>
            <w:tcW w:w="6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outstanding—March 31, 2025</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944,252</w:t>
            </w:r>
          </w:p>
        </w:tc>
        <w:tc>
          <w:tcPr>
            <w:tcW w:w="3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34.24</w:t>
            </w:r>
          </w:p>
        </w:tc>
      </w:tr>
      <w:tr>
        <w:trPr>
          <w:trHeight w:val="20"/>
        </w:trPr>
        <w:tc>
          <w:tcPr>
            <w:tcW w:w="6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RSUs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fair value of RSUs is equal to the value of the Company’s common stock on the grant date.</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weighted-average per share fair value of awards issued under the 2020 Plan during the three months ended March 31, 2025, and 2024 was $38.25 and $30.69, respectively.</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Stock Options and SARs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Company values options and SARs using the Black-Scholes option-pricing model. The Company lacks sufficient historical company-specific volatility information. Therefore, the Company estimates expected stock volatility based on historical volatility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For SARs, the expected term is based upon the weighting of certain future events. The risk-free interest rate is determined by reference to the U.S. Treasury yield curve in effect at the time of grant of the award for the time periods approximately equal to the expected term of the award. An expected dividend yield of 0% is based on the fact that the Company has never paid cash dividends and does not expect to do so in the foreseeable future.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assumptions used to value the awards are summarized in the following table.</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170"/>
              <w:spacing w:after="0"/>
              <w:rPr>
                <w:sz w:val="20"/>
                <w:szCs w:val="20"/>
                <w:color w:val="auto"/>
              </w:rPr>
            </w:pPr>
            <w:r>
              <w:rPr>
                <w:rFonts w:ascii="Arial" w:cs="Arial" w:eastAsia="Arial" w:hAnsi="Arial"/>
                <w:sz w:val="14"/>
                <w:szCs w:val="14"/>
                <w:b w:val="1"/>
                <w:bCs w:val="1"/>
                <w:color w:val="auto"/>
              </w:rPr>
              <w:t>As of</w:t>
            </w:r>
          </w:p>
        </w:tc>
      </w:tr>
      <w:tr>
        <w:trPr>
          <w:trHeight w:val="155"/>
        </w:trPr>
        <w:tc>
          <w:tcPr>
            <w:tcW w:w="6020" w:type="dxa"/>
            <w:vAlign w:val="bottom"/>
          </w:tcPr>
          <w:p>
            <w:pPr>
              <w:spacing w:after="0"/>
              <w:rPr>
                <w:sz w:val="13"/>
                <w:szCs w:val="13"/>
                <w:color w:val="auto"/>
              </w:rPr>
            </w:pPr>
          </w:p>
        </w:tc>
        <w:tc>
          <w:tcPr>
            <w:tcW w:w="1420" w:type="dxa"/>
            <w:vAlign w:val="bottom"/>
            <w:gridSpan w:val="2"/>
          </w:tcPr>
          <w:p>
            <w:pPr>
              <w:jc w:val="right"/>
              <w:ind w:right="239"/>
              <w:spacing w:after="0" w:line="155" w:lineRule="exact"/>
              <w:rPr>
                <w:sz w:val="20"/>
                <w:szCs w:val="20"/>
                <w:color w:val="auto"/>
              </w:rPr>
            </w:pPr>
            <w:r>
              <w:rPr>
                <w:rFonts w:ascii="Arial" w:cs="Arial" w:eastAsia="Arial" w:hAnsi="Arial"/>
                <w:sz w:val="14"/>
                <w:szCs w:val="14"/>
                <w:b w:val="1"/>
                <w:bCs w:val="1"/>
                <w:color w:val="auto"/>
              </w:rPr>
              <w:t>March 31, 2025</w:t>
            </w:r>
          </w:p>
        </w:tc>
        <w:tc>
          <w:tcPr>
            <w:tcW w:w="1460" w:type="dxa"/>
            <w:vAlign w:val="bottom"/>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December 31, 2024</w:t>
            </w:r>
          </w:p>
        </w:tc>
      </w:tr>
      <w:tr>
        <w:trPr>
          <w:trHeight w:val="196"/>
        </w:trPr>
        <w:tc>
          <w:tcPr>
            <w:tcW w:w="60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Dividend yield</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280" w:type="dxa"/>
            <w:vAlign w:val="bottom"/>
            <w:tcBorders>
              <w:top w:val="single" w:sz="8" w:color="CCEEFF"/>
            </w:tcBorders>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w w:val="87"/>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42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70.01 - 71.43 %</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69.84 - 72.98 %</w:t>
            </w: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420" w:type="dxa"/>
            <w:vAlign w:val="bottom"/>
            <w:gridSpan w:val="2"/>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3.96 - 4.44 %</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3.51 - 4.65 %</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Lack of marketability discount</w:t>
            </w:r>
          </w:p>
        </w:tc>
        <w:tc>
          <w:tcPr>
            <w:tcW w:w="142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0.00 %</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0.00 %</w:t>
            </w: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term (years)</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1.70 - 6.11</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1.81 - 6.11</w:t>
            </w:r>
          </w:p>
        </w:tc>
        <w:tc>
          <w:tcPr>
            <w:tcW w:w="160" w:type="dxa"/>
            <w:vAlign w:val="bottom"/>
            <w:shd w:val="clear" w:color="auto" w:fill="CCEEFF"/>
          </w:tcPr>
          <w:p>
            <w:pPr>
              <w:spacing w:after="0"/>
              <w:rPr>
                <w:sz w:val="17"/>
                <w:szCs w:val="17"/>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 Expense</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Stock-based compensation expense for the three months ended March 31, 2025, and 2024, was recorded in the unaudited condensed consolidated statements of operations and comprehensive income in the following line items: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23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656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r>
      <w:tr>
        <w:trPr>
          <w:trHeight w:val="196"/>
        </w:trPr>
        <w:tc>
          <w:tcPr>
            <w:tcW w:w="65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 expense</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2,302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1,371</w:t>
            </w:r>
          </w:p>
        </w:tc>
        <w:tc>
          <w:tcPr>
            <w:tcW w:w="180" w:type="dxa"/>
            <w:vAlign w:val="bottom"/>
            <w:shd w:val="clear" w:color="auto" w:fill="CCEEFF"/>
          </w:tcPr>
          <w:p>
            <w:pPr>
              <w:spacing w:after="0"/>
              <w:rPr>
                <w:sz w:val="17"/>
                <w:szCs w:val="17"/>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 expense</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2,744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1,994</w:t>
            </w:r>
          </w:p>
        </w:tc>
        <w:tc>
          <w:tcPr>
            <w:tcW w:w="180" w:type="dxa"/>
            <w:vAlign w:val="bottom"/>
          </w:tcPr>
          <w:p>
            <w:pPr>
              <w:spacing w:after="0"/>
              <w:rPr>
                <w:sz w:val="17"/>
                <w:szCs w:val="17"/>
                <w:color w:val="auto"/>
              </w:rPr>
            </w:pPr>
          </w:p>
        </w:tc>
      </w:tr>
      <w:tr>
        <w:trPr>
          <w:trHeight w:val="203"/>
        </w:trPr>
        <w:tc>
          <w:tcPr>
            <w:tcW w:w="6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General and administrative expense</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7,404</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7,069</w:t>
            </w:r>
          </w:p>
        </w:tc>
        <w:tc>
          <w:tcPr>
            <w:tcW w:w="180" w:type="dxa"/>
            <w:vAlign w:val="bottom"/>
            <w:shd w:val="clear" w:color="auto" w:fill="CCEEFF"/>
          </w:tcPr>
          <w:p>
            <w:pPr>
              <w:spacing w:after="0"/>
              <w:rPr>
                <w:sz w:val="17"/>
                <w:szCs w:val="17"/>
                <w:color w:val="auto"/>
              </w:rPr>
            </w:pPr>
          </w:p>
        </w:tc>
      </w:tr>
      <w:tr>
        <w:trPr>
          <w:trHeight w:val="196"/>
        </w:trPr>
        <w:tc>
          <w:tcPr>
            <w:tcW w:w="656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12,450</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10,434</w:t>
            </w:r>
          </w:p>
        </w:tc>
        <w:tc>
          <w:tcPr>
            <w:tcW w:w="180" w:type="dxa"/>
            <w:vAlign w:val="bottom"/>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8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Stock-based compensation expense related to options and RSUs issued under the 2017 Plan and 2020 Plan is included in stockholder’s equity, and a liability for SARs is included in other non-current liabilities, in the Company’s unaudited condensed consolidated balance sheet. As of March 31, 2025, the total unrecognized stock-based compensation expense was $66,056 and $29,617 for stock options and RSUs,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respectively. These amounts will be recognized in the Company’s consolidated statement of operations over a weighted average period of 2.69 years and 3.17 years for stock options and RSUs, respectively.</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 Stock Purchase Plan</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2020 Employee Stock Purchase Plan (“ESPP”) was adopted by the Company’s Board of Directors on April 30, 2021. The ESPP permits eligible employees to purchase shares of the Company’s common stock at a 15% discount from the lesser of the fair market value per share of the Company’s common stock on the first day of the offering period or the fair market value of the Company’s common stock on the purchase date. Funds are collected from employees through after-tax payroll deductions. The total number of shares reserved for issuance under the ESPP was initially 629,805, which automatically increases on January 1 of each year in an amount equal to the lesser of (i) 1.0% of the shares of the Company’s common stock outstanding on December 31 of the preceding year or (ii) an amount determined by the Company’s board of directors. It is intended that the ESPP meet the requirements for an “employee stock purchase plan” under Section 423 of the Internal Revenue Code. There were no shares issued under the ESPP for the three months ended March 31, 2025, and 2024, respectively. The discount on the ESPP was $60 and $80 for the three months ended March 31, 2025, and 2024, respectively, and is recorded within stock-based compensation expense.</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SEGMENT INFORMATION</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 has one reportable segment: rare neurological diseases. The rare neurological diseases segment consists of the Company’s commercial product, WAKIX, and its potential product candidates, that focus on patients living with rare neurological diseases who have unmet needs. The Company currently derives all of its revenue from sales of WAKIX, which is used in the treatment of EDS and cataplexy in adult patients with narcolepsy and the treatment of EDS in pediatric patients six years and older with narcolepsy and manages its business activities on a consolidated basis.</w:t>
      </w:r>
    </w:p>
    <w:p>
      <w:pPr>
        <w:spacing w:after="0" w:line="17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 xml:space="preserve">The accounting policies of the rare neurological diseases segment are consistent with those described in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and the measure of segment assets is reported on the consolidated balance sheets as total assets. The Company’s CODM is the chief executive officer. The CODM assesses performance of the rare neurological diseases segment using net income as reported in the consolidated statements of operations and comprehensive income. Net income is assessed by the CODM to make decisions on how to allocate resources, such as reinvesting profits into the rare neurological diseases segment or pursuing potential investing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summarizes segment revenue and significant segment expenses for the three months ended March 31, 2025, and 2024:</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580" w:type="dxa"/>
            <w:vAlign w:val="bottom"/>
            <w:gridSpan w:val="5"/>
          </w:tcPr>
          <w:p>
            <w:pPr>
              <w:ind w:left="20"/>
              <w:spacing w:after="0"/>
              <w:rPr>
                <w:sz w:val="20"/>
                <w:szCs w:val="20"/>
                <w:color w:val="auto"/>
              </w:rPr>
            </w:pPr>
            <w:r>
              <w:rPr>
                <w:rFonts w:ascii="Arial" w:cs="Arial" w:eastAsia="Arial" w:hAnsi="Arial"/>
                <w:sz w:val="14"/>
                <w:szCs w:val="14"/>
                <w:b w:val="1"/>
                <w:bCs w:val="1"/>
                <w:color w:val="auto"/>
              </w:rPr>
              <w:t>Rare Neurological Diseases Segment</w:t>
            </w:r>
          </w:p>
        </w:tc>
      </w:tr>
      <w:tr>
        <w:trPr>
          <w:trHeight w:val="156"/>
        </w:trPr>
        <w:tc>
          <w:tcPr>
            <w:tcW w:w="63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400" w:type="dxa"/>
            <w:vAlign w:val="bottom"/>
            <w:tcBorders>
              <w:top w:val="single" w:sz="8" w:color="auto"/>
              <w:bottom w:val="single" w:sz="8" w:color="auto"/>
            </w:tcBorders>
            <w:gridSpan w:val="3"/>
          </w:tcPr>
          <w:p>
            <w:pPr>
              <w:jc w:val="right"/>
              <w:ind w:right="151"/>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3"/>
                <w:szCs w:val="13"/>
                <w:color w:val="auto"/>
              </w:rPr>
            </w:pPr>
          </w:p>
        </w:tc>
      </w:tr>
      <w:tr>
        <w:trPr>
          <w:trHeight w:val="155"/>
        </w:trPr>
        <w:tc>
          <w:tcPr>
            <w:tcW w:w="63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3"/>
                <w:szCs w:val="13"/>
                <w:color w:val="auto"/>
              </w:rPr>
            </w:pPr>
          </w:p>
        </w:tc>
      </w:tr>
      <w:tr>
        <w:trPr>
          <w:trHeight w:val="196"/>
        </w:trPr>
        <w:tc>
          <w:tcPr>
            <w:tcW w:w="6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product revenue</w:t>
            </w: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3"/>
              <w:spacing w:after="0" w:line="196" w:lineRule="exact"/>
              <w:rPr>
                <w:sz w:val="20"/>
                <w:szCs w:val="20"/>
                <w:color w:val="auto"/>
              </w:rPr>
            </w:pPr>
            <w:r>
              <w:rPr>
                <w:rFonts w:ascii="Arial" w:cs="Arial" w:eastAsia="Arial" w:hAnsi="Arial"/>
                <w:sz w:val="18"/>
                <w:szCs w:val="18"/>
                <w:color w:val="auto"/>
              </w:rPr>
              <w:t>184,733</w:t>
            </w:r>
          </w:p>
        </w:tc>
        <w:tc>
          <w:tcPr>
            <w:tcW w:w="36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154,615</w:t>
            </w:r>
          </w:p>
        </w:tc>
        <w:tc>
          <w:tcPr>
            <w:tcW w:w="20" w:type="dxa"/>
            <w:vAlign w:val="bottom"/>
          </w:tcPr>
          <w:p>
            <w:pPr>
              <w:spacing w:after="0"/>
              <w:rPr>
                <w:sz w:val="17"/>
                <w:szCs w:val="17"/>
                <w:color w:val="auto"/>
              </w:rPr>
            </w:pPr>
          </w:p>
        </w:tc>
      </w:tr>
      <w:tr>
        <w:trPr>
          <w:trHeight w:val="203"/>
        </w:trPr>
        <w:tc>
          <w:tcPr>
            <w:tcW w:w="6340" w:type="dxa"/>
            <w:vAlign w:val="bottom"/>
          </w:tcPr>
          <w:p>
            <w:pPr>
              <w:ind w:left="20"/>
              <w:spacing w:after="0" w:line="202" w:lineRule="exact"/>
              <w:rPr>
                <w:sz w:val="20"/>
                <w:szCs w:val="20"/>
                <w:color w:val="auto"/>
              </w:rPr>
            </w:pPr>
            <w:r>
              <w:rPr>
                <w:rFonts w:ascii="Arial" w:cs="Arial" w:eastAsia="Arial" w:hAnsi="Arial"/>
                <w:sz w:val="18"/>
                <w:szCs w:val="18"/>
                <w:color w:val="auto"/>
              </w:rPr>
              <w:t>Less: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Cost of product sold (excluding depreciation)</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31,987</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27,477</w:t>
            </w:r>
          </w:p>
        </w:tc>
        <w:tc>
          <w:tcPr>
            <w:tcW w:w="20" w:type="dxa"/>
            <w:vAlign w:val="bottom"/>
          </w:tcPr>
          <w:p>
            <w:pPr>
              <w:spacing w:after="0"/>
              <w:rPr>
                <w:sz w:val="17"/>
                <w:szCs w:val="17"/>
                <w:color w:val="auto"/>
              </w:rPr>
            </w:pPr>
          </w:p>
        </w:tc>
      </w:tr>
      <w:tr>
        <w:trPr>
          <w:trHeight w:val="202"/>
        </w:trPr>
        <w:tc>
          <w:tcPr>
            <w:tcW w:w="634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 (excluding stock compensation)</w:t>
            </w:r>
          </w:p>
        </w:tc>
        <w:tc>
          <w:tcPr>
            <w:tcW w:w="160" w:type="dxa"/>
            <w:vAlign w:val="bottom"/>
          </w:tcPr>
          <w:p>
            <w:pPr>
              <w:spacing w:after="0"/>
              <w:rPr>
                <w:sz w:val="17"/>
                <w:szCs w:val="17"/>
                <w:color w:val="auto"/>
              </w:rPr>
            </w:pPr>
          </w:p>
        </w:tc>
        <w:tc>
          <w:tcPr>
            <w:tcW w:w="10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32,238</w:t>
            </w: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20,818</w:t>
            </w:r>
          </w:p>
        </w:tc>
        <w:tc>
          <w:tcPr>
            <w:tcW w:w="20" w:type="dxa"/>
            <w:vAlign w:val="bottom"/>
          </w:tcPr>
          <w:p>
            <w:pPr>
              <w:spacing w:after="0"/>
              <w:rPr>
                <w:sz w:val="17"/>
                <w:szCs w:val="17"/>
                <w:color w:val="auto"/>
              </w:rPr>
            </w:pPr>
          </w:p>
        </w:tc>
      </w:tr>
      <w:tr>
        <w:trPr>
          <w:trHeight w:val="203"/>
        </w:trPr>
        <w:tc>
          <w:tcPr>
            <w:tcW w:w="6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Sales and marketing (excluding stock compensation)</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27,967</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25,239</w:t>
            </w:r>
          </w:p>
        </w:tc>
        <w:tc>
          <w:tcPr>
            <w:tcW w:w="20" w:type="dxa"/>
            <w:vAlign w:val="bottom"/>
          </w:tcPr>
          <w:p>
            <w:pPr>
              <w:spacing w:after="0"/>
              <w:rPr>
                <w:sz w:val="17"/>
                <w:szCs w:val="17"/>
                <w:color w:val="auto"/>
              </w:rPr>
            </w:pPr>
          </w:p>
        </w:tc>
      </w:tr>
      <w:tr>
        <w:trPr>
          <w:trHeight w:val="203"/>
        </w:trPr>
        <w:tc>
          <w:tcPr>
            <w:tcW w:w="634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 (excluding stock compensation and amortization)</w:t>
            </w:r>
          </w:p>
        </w:tc>
        <w:tc>
          <w:tcPr>
            <w:tcW w:w="160" w:type="dxa"/>
            <w:vAlign w:val="bottom"/>
          </w:tcPr>
          <w:p>
            <w:pPr>
              <w:spacing w:after="0"/>
              <w:rPr>
                <w:sz w:val="17"/>
                <w:szCs w:val="17"/>
                <w:color w:val="auto"/>
              </w:rPr>
            </w:pPr>
          </w:p>
        </w:tc>
        <w:tc>
          <w:tcPr>
            <w:tcW w:w="10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17,878</w:t>
            </w: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12,490</w:t>
            </w:r>
          </w:p>
        </w:tc>
        <w:tc>
          <w:tcPr>
            <w:tcW w:w="20" w:type="dxa"/>
            <w:vAlign w:val="bottom"/>
          </w:tcPr>
          <w:p>
            <w:pPr>
              <w:spacing w:after="0"/>
              <w:rPr>
                <w:sz w:val="17"/>
                <w:szCs w:val="17"/>
                <w:color w:val="auto"/>
              </w:rPr>
            </w:pPr>
          </w:p>
        </w:tc>
      </w:tr>
      <w:tr>
        <w:trPr>
          <w:trHeight w:val="203"/>
        </w:trPr>
        <w:tc>
          <w:tcPr>
            <w:tcW w:w="6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5,968</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6,124</w:t>
            </w:r>
          </w:p>
        </w:tc>
        <w:tc>
          <w:tcPr>
            <w:tcW w:w="20" w:type="dxa"/>
            <w:vAlign w:val="bottom"/>
          </w:tcPr>
          <w:p>
            <w:pPr>
              <w:spacing w:after="0"/>
              <w:rPr>
                <w:sz w:val="17"/>
                <w:szCs w:val="17"/>
                <w:color w:val="auto"/>
              </w:rPr>
            </w:pPr>
          </w:p>
        </w:tc>
      </w:tr>
      <w:tr>
        <w:trPr>
          <w:trHeight w:val="203"/>
        </w:trPr>
        <w:tc>
          <w:tcPr>
            <w:tcW w:w="634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7"/>
                <w:szCs w:val="17"/>
                <w:color w:val="auto"/>
              </w:rPr>
            </w:pPr>
          </w:p>
        </w:tc>
        <w:tc>
          <w:tcPr>
            <w:tcW w:w="10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12,450</w:t>
            </w: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10,434</w:t>
            </w:r>
          </w:p>
        </w:tc>
        <w:tc>
          <w:tcPr>
            <w:tcW w:w="20" w:type="dxa"/>
            <w:vAlign w:val="bottom"/>
          </w:tcPr>
          <w:p>
            <w:pPr>
              <w:spacing w:after="0"/>
              <w:rPr>
                <w:sz w:val="17"/>
                <w:szCs w:val="17"/>
                <w:color w:val="auto"/>
              </w:rPr>
            </w:pPr>
          </w:p>
        </w:tc>
      </w:tr>
      <w:tr>
        <w:trPr>
          <w:trHeight w:val="203"/>
        </w:trPr>
        <w:tc>
          <w:tcPr>
            <w:tcW w:w="6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3,836</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4,535</w:t>
            </w:r>
          </w:p>
        </w:tc>
        <w:tc>
          <w:tcPr>
            <w:tcW w:w="20" w:type="dxa"/>
            <w:vAlign w:val="bottom"/>
          </w:tcPr>
          <w:p>
            <w:pPr>
              <w:spacing w:after="0"/>
              <w:rPr>
                <w:sz w:val="17"/>
                <w:szCs w:val="17"/>
                <w:color w:val="auto"/>
              </w:rPr>
            </w:pPr>
          </w:p>
        </w:tc>
      </w:tr>
      <w:tr>
        <w:trPr>
          <w:trHeight w:val="203"/>
        </w:trPr>
        <w:tc>
          <w:tcPr>
            <w:tcW w:w="634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(5,044)</w:t>
            </w: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(4,428)</w:t>
            </w:r>
          </w:p>
        </w:tc>
        <w:tc>
          <w:tcPr>
            <w:tcW w:w="20" w:type="dxa"/>
            <w:vAlign w:val="bottom"/>
          </w:tcPr>
          <w:p>
            <w:pPr>
              <w:spacing w:after="0"/>
              <w:rPr>
                <w:sz w:val="17"/>
                <w:szCs w:val="17"/>
                <w:color w:val="auto"/>
              </w:rPr>
            </w:pPr>
          </w:p>
        </w:tc>
      </w:tr>
      <w:tr>
        <w:trPr>
          <w:trHeight w:val="203"/>
        </w:trPr>
        <w:tc>
          <w:tcPr>
            <w:tcW w:w="6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tax expense (benefit)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11,617</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13,451</w:t>
            </w:r>
          </w:p>
        </w:tc>
        <w:tc>
          <w:tcPr>
            <w:tcW w:w="20" w:type="dxa"/>
            <w:vAlign w:val="bottom"/>
          </w:tcPr>
          <w:p>
            <w:pPr>
              <w:spacing w:after="0"/>
              <w:rPr>
                <w:sz w:val="17"/>
                <w:szCs w:val="17"/>
                <w:color w:val="auto"/>
              </w:rPr>
            </w:pPr>
          </w:p>
        </w:tc>
      </w:tr>
      <w:tr>
        <w:trPr>
          <w:trHeight w:val="203"/>
        </w:trPr>
        <w:tc>
          <w:tcPr>
            <w:tcW w:w="63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segment items (a)</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3"/>
              <w:spacing w:after="0" w:line="202" w:lineRule="exact"/>
              <w:rPr>
                <w:sz w:val="20"/>
                <w:szCs w:val="20"/>
                <w:color w:val="auto"/>
              </w:rPr>
            </w:pPr>
            <w:r>
              <w:rPr>
                <w:rFonts w:ascii="Arial" w:cs="Arial" w:eastAsia="Arial" w:hAnsi="Arial"/>
                <w:sz w:val="18"/>
                <w:szCs w:val="18"/>
                <w:color w:val="auto"/>
              </w:rPr>
              <w:t>276</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w:t>
            </w:r>
          </w:p>
        </w:tc>
        <w:tc>
          <w:tcPr>
            <w:tcW w:w="20" w:type="dxa"/>
            <w:vAlign w:val="bottom"/>
          </w:tcPr>
          <w:p>
            <w:pPr>
              <w:spacing w:after="0"/>
              <w:rPr>
                <w:sz w:val="17"/>
                <w:szCs w:val="17"/>
                <w:color w:val="auto"/>
              </w:rPr>
            </w:pPr>
          </w:p>
        </w:tc>
      </w:tr>
      <w:tr>
        <w:trPr>
          <w:trHeight w:val="196"/>
        </w:trPr>
        <w:tc>
          <w:tcPr>
            <w:tcW w:w="63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Consolidated net income</w:t>
            </w: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3"/>
              <w:spacing w:after="0" w:line="196" w:lineRule="exact"/>
              <w:rPr>
                <w:sz w:val="20"/>
                <w:szCs w:val="20"/>
                <w:color w:val="auto"/>
              </w:rPr>
            </w:pPr>
            <w:r>
              <w:rPr>
                <w:rFonts w:ascii="Arial" w:cs="Arial" w:eastAsia="Arial" w:hAnsi="Arial"/>
                <w:sz w:val="18"/>
                <w:szCs w:val="18"/>
                <w:color w:val="auto"/>
              </w:rPr>
              <w:t>45,560</w:t>
            </w:r>
          </w:p>
        </w:tc>
        <w:tc>
          <w:tcPr>
            <w:tcW w:w="36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38,334</w:t>
            </w:r>
          </w:p>
        </w:tc>
        <w:tc>
          <w:tcPr>
            <w:tcW w:w="20" w:type="dxa"/>
            <w:vAlign w:val="bottom"/>
          </w:tcPr>
          <w:p>
            <w:pPr>
              <w:spacing w:after="0"/>
              <w:rPr>
                <w:sz w:val="17"/>
                <w:szCs w:val="17"/>
                <w:color w:val="auto"/>
              </w:rPr>
            </w:pPr>
          </w:p>
        </w:tc>
      </w:tr>
      <w:tr>
        <w:trPr>
          <w:trHeight w:val="20"/>
        </w:trPr>
        <w:tc>
          <w:tcPr>
            <w:tcW w:w="6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Other segment items includes other expense, net.</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EARNINGS PER SHARE</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Basic earnings per share is calculated by dividing net income by the weighted average number of shares of common stock outstanding. Diluted net income per share of common is computed under the treasury stock method by using the weighted average number of shares of common stock outstanding, plus, for periods with net income, the potential dilutive effects of stock options, stock appreciation rights and restricted stock units.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554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CCEEFF"/>
            </w:tcBorders>
          </w:tcPr>
          <w:p>
            <w:pPr>
              <w:spacing w:after="0"/>
              <w:rPr>
                <w:sz w:val="13"/>
                <w:szCs w:val="13"/>
                <w:color w:val="auto"/>
              </w:rPr>
            </w:pPr>
          </w:p>
        </w:tc>
      </w:tr>
      <w:tr>
        <w:trPr>
          <w:trHeight w:val="196"/>
        </w:trPr>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03"/>
        </w:trPr>
        <w:tc>
          <w:tcPr>
            <w:tcW w:w="5540" w:type="dxa"/>
            <w:vAlign w:val="bottom"/>
          </w:tcPr>
          <w:p>
            <w:pPr>
              <w:ind w:left="100"/>
              <w:spacing w:after="0" w:line="202" w:lineRule="exact"/>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45,560</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38,334</w:t>
            </w:r>
          </w:p>
        </w:tc>
        <w:tc>
          <w:tcPr>
            <w:tcW w:w="420" w:type="dxa"/>
            <w:vAlign w:val="bottom"/>
          </w:tcPr>
          <w:p>
            <w:pPr>
              <w:spacing w:after="0"/>
              <w:rPr>
                <w:sz w:val="17"/>
                <w:szCs w:val="17"/>
                <w:color w:val="auto"/>
              </w:rPr>
            </w:pP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03"/>
        </w:trPr>
        <w:tc>
          <w:tcPr>
            <w:tcW w:w="5540" w:type="dxa"/>
            <w:vAlign w:val="bottom"/>
          </w:tcPr>
          <w:p>
            <w:pPr>
              <w:ind w:left="100"/>
              <w:spacing w:after="0" w:line="202" w:lineRule="exact"/>
              <w:rPr>
                <w:sz w:val="20"/>
                <w:szCs w:val="20"/>
                <w:color w:val="auto"/>
              </w:rPr>
            </w:pPr>
            <w:r>
              <w:rPr>
                <w:rFonts w:ascii="Arial" w:cs="Arial" w:eastAsia="Arial" w:hAnsi="Arial"/>
                <w:sz w:val="18"/>
                <w:szCs w:val="18"/>
                <w:color w:val="auto"/>
              </w:rPr>
              <w:t>Net income per share of common stock - basic</w:t>
            </w: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0.79</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0.68</w:t>
            </w:r>
          </w:p>
        </w:tc>
        <w:tc>
          <w:tcPr>
            <w:tcW w:w="420" w:type="dxa"/>
            <w:vAlign w:val="bottom"/>
          </w:tcPr>
          <w:p>
            <w:pPr>
              <w:spacing w:after="0"/>
              <w:rPr>
                <w:sz w:val="17"/>
                <w:szCs w:val="17"/>
                <w:color w:val="auto"/>
              </w:rPr>
            </w:pPr>
          </w:p>
        </w:tc>
      </w:tr>
      <w:tr>
        <w:trPr>
          <w:trHeight w:val="203"/>
        </w:trPr>
        <w:tc>
          <w:tcPr>
            <w:tcW w:w="5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Net income per share of common stock- diluted</w:t>
            </w:r>
          </w:p>
        </w:tc>
        <w:tc>
          <w:tcPr>
            <w:tcW w:w="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0.78</w:t>
            </w:r>
          </w:p>
        </w:tc>
        <w:tc>
          <w:tcPr>
            <w:tcW w:w="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0.67</w:t>
            </w:r>
          </w:p>
        </w:tc>
        <w:tc>
          <w:tcPr>
            <w:tcW w:w="420" w:type="dxa"/>
            <w:vAlign w:val="bottom"/>
            <w:shd w:val="clear" w:color="auto" w:fill="CCEEFF"/>
          </w:tcPr>
          <w:p>
            <w:pPr>
              <w:spacing w:after="0"/>
              <w:rPr>
                <w:sz w:val="17"/>
                <w:szCs w:val="17"/>
                <w:color w:val="auto"/>
              </w:rPr>
            </w:pPr>
          </w:p>
        </w:tc>
      </w:tr>
      <w:tr>
        <w:trPr>
          <w:trHeight w:val="203"/>
        </w:trPr>
        <w:tc>
          <w:tcPr>
            <w:tcW w:w="5540" w:type="dxa"/>
            <w:vAlign w:val="bottom"/>
          </w:tcPr>
          <w:p>
            <w:pPr>
              <w:ind w:left="100"/>
              <w:spacing w:after="0" w:line="202" w:lineRule="exact"/>
              <w:rPr>
                <w:sz w:val="20"/>
                <w:szCs w:val="20"/>
                <w:color w:val="auto"/>
              </w:rPr>
            </w:pPr>
            <w:r>
              <w:rPr>
                <w:rFonts w:ascii="Arial" w:cs="Arial" w:eastAsia="Arial" w:hAnsi="Arial"/>
                <w:sz w:val="18"/>
                <w:szCs w:val="18"/>
                <w:color w:val="auto"/>
              </w:rPr>
              <w:t>Weighted average number of shares of common stock - basic</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57,309,938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56,771,251</w:t>
            </w:r>
          </w:p>
        </w:tc>
        <w:tc>
          <w:tcPr>
            <w:tcW w:w="420" w:type="dxa"/>
            <w:vAlign w:val="bottom"/>
          </w:tcPr>
          <w:p>
            <w:pPr>
              <w:spacing w:after="0"/>
              <w:rPr>
                <w:sz w:val="17"/>
                <w:szCs w:val="17"/>
                <w:color w:val="auto"/>
              </w:rPr>
            </w:pPr>
          </w:p>
        </w:tc>
      </w:tr>
      <w:tr>
        <w:trPr>
          <w:trHeight w:val="203"/>
        </w:trPr>
        <w:tc>
          <w:tcPr>
            <w:tcW w:w="5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Weighted average number of shares of common stock - diluted</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58,524,566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57,597,627</w:t>
            </w:r>
          </w:p>
        </w:tc>
        <w:tc>
          <w:tcPr>
            <w:tcW w:w="42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Securities outstanding and included in the computation above, utilizing the treasury stock method are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40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6520" w:type="dxa"/>
            <w:vAlign w:val="bottom"/>
            <w:tcBorders>
              <w:bottom w:val="single" w:sz="8" w:color="CCEEFF"/>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62"/>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top w:val="single" w:sz="8" w:color="auto"/>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3"/>
                <w:szCs w:val="13"/>
                <w:color w:val="auto"/>
              </w:rPr>
            </w:pPr>
          </w:p>
        </w:tc>
      </w:tr>
      <w:tr>
        <w:trPr>
          <w:trHeight w:val="196"/>
        </w:trPr>
        <w:tc>
          <w:tcPr>
            <w:tcW w:w="6520" w:type="dxa"/>
            <w:vAlign w:val="bottom"/>
            <w:shd w:val="clear" w:color="auto" w:fill="CCEEFF"/>
          </w:tcPr>
          <w:p>
            <w:pPr>
              <w:jc w:val="right"/>
              <w:ind w:right="1650"/>
              <w:spacing w:after="0" w:line="196" w:lineRule="exact"/>
              <w:rPr>
                <w:sz w:val="20"/>
                <w:szCs w:val="20"/>
                <w:color w:val="auto"/>
              </w:rPr>
            </w:pPr>
            <w:r>
              <w:rPr>
                <w:rFonts w:ascii="Arial" w:cs="Arial" w:eastAsia="Arial" w:hAnsi="Arial"/>
                <w:sz w:val="18"/>
                <w:szCs w:val="18"/>
                <w:color w:val="auto"/>
                <w:w w:val="99"/>
              </w:rPr>
              <w:t>Stock options, SARs, and RSUs to purchase common stock</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1,214,628</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826,376</w:t>
            </w:r>
          </w:p>
        </w:tc>
        <w:tc>
          <w:tcPr>
            <w:tcW w:w="20" w:type="dxa"/>
            <w:vAlign w:val="bottom"/>
          </w:tcPr>
          <w:p>
            <w:pPr>
              <w:spacing w:after="0"/>
              <w:rPr>
                <w:sz w:val="17"/>
                <w:szCs w:val="17"/>
                <w:color w:val="auto"/>
              </w:rPr>
            </w:pPr>
          </w:p>
        </w:tc>
      </w:tr>
      <w:tr>
        <w:trPr>
          <w:trHeight w:val="854"/>
        </w:trPr>
        <w:tc>
          <w:tcPr>
            <w:tcW w:w="6520" w:type="dxa"/>
            <w:vAlign w:val="bottom"/>
          </w:tcPr>
          <w:p>
            <w:pPr>
              <w:jc w:val="right"/>
              <w:ind w:right="1870"/>
              <w:spacing w:after="0"/>
              <w:rPr>
                <w:sz w:val="20"/>
                <w:szCs w:val="20"/>
                <w:color w:val="auto"/>
              </w:rPr>
            </w:pPr>
            <w:r>
              <w:rPr>
                <w:rFonts w:ascii="Arial" w:cs="Arial" w:eastAsia="Arial" w:hAnsi="Arial"/>
                <w:sz w:val="18"/>
                <w:szCs w:val="18"/>
                <w:color w:val="auto"/>
              </w:rPr>
              <w:t>25</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6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Potential shares of common stock that were excluded from the computation of diluted weighted-average shares outstanding excluded from the numerator, are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7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6160" w:type="dxa"/>
            <w:vAlign w:val="bottom"/>
            <w:tcBorders>
              <w:bottom w:val="single" w:sz="8" w:color="CCEEFF"/>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62"/>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bottom w:val="single" w:sz="8" w:color="CCEEFF"/>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r>
      <w:tr>
        <w:trPr>
          <w:trHeight w:val="196"/>
        </w:trPr>
        <w:tc>
          <w:tcPr>
            <w:tcW w:w="6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 SARs, and RSUs to purchase common stock</w:t>
            </w:r>
          </w:p>
        </w:tc>
        <w:tc>
          <w:tcPr>
            <w:tcW w:w="1200" w:type="dxa"/>
            <w:vAlign w:val="bottom"/>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rPr>
              <w:t>7,752,451</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7,281,505</w:t>
            </w:r>
          </w:p>
        </w:tc>
        <w:tc>
          <w:tcPr>
            <w:tcW w:w="180" w:type="dxa"/>
            <w:vAlign w:val="bottom"/>
            <w:shd w:val="clear" w:color="auto" w:fill="CCEEFF"/>
          </w:tcPr>
          <w:p>
            <w:pPr>
              <w:spacing w:after="0"/>
              <w:rPr>
                <w:sz w:val="17"/>
                <w:szCs w:val="17"/>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INCOME TAXES</w:t>
      </w:r>
    </w:p>
    <w:p>
      <w:pPr>
        <w:spacing w:after="0" w:line="212" w:lineRule="exact"/>
        <w:rPr>
          <w:sz w:val="20"/>
          <w:szCs w:val="20"/>
          <w:color w:val="auto"/>
        </w:rPr>
      </w:pPr>
    </w:p>
    <w:p>
      <w:pPr>
        <w:ind w:left="60" w:right="219" w:firstLine="648"/>
        <w:spacing w:after="0" w:line="271" w:lineRule="auto"/>
        <w:rPr>
          <w:sz w:val="20"/>
          <w:szCs w:val="20"/>
          <w:color w:val="auto"/>
        </w:rPr>
      </w:pPr>
      <w:r>
        <w:rPr>
          <w:rFonts w:ascii="Arial" w:cs="Arial" w:eastAsia="Arial" w:hAnsi="Arial"/>
          <w:sz w:val="18"/>
          <w:szCs w:val="18"/>
          <w:color w:val="auto"/>
        </w:rPr>
        <w:t>A reconciliation between the statutory federal income tax rate and the Company’s effective income tax rate for the three months ended March 31, 2025, and 2024 is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674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3"/>
                <w:szCs w:val="13"/>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Federal income tax rate</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87"/>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300" w:type="dxa"/>
            <w:vAlign w:val="bottom"/>
          </w:tcPr>
          <w:p>
            <w:pPr>
              <w:spacing w:after="0"/>
              <w:rPr>
                <w:sz w:val="17"/>
                <w:szCs w:val="17"/>
                <w:color w:val="auto"/>
              </w:rPr>
            </w:pPr>
          </w:p>
        </w:tc>
        <w:tc>
          <w:tcPr>
            <w:tcW w:w="104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r>
      <w:tr>
        <w:trPr>
          <w:trHeight w:val="203"/>
        </w:trPr>
        <w:tc>
          <w:tcPr>
            <w:tcW w:w="6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State taxes</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7"/>
                <w:szCs w:val="17"/>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Credits</w:t>
            </w:r>
          </w:p>
        </w:tc>
        <w:tc>
          <w:tcPr>
            <w:tcW w:w="112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(2.4)</w:t>
            </w:r>
          </w:p>
        </w:tc>
        <w:tc>
          <w:tcPr>
            <w:tcW w:w="10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(1.0)</w:t>
            </w:r>
          </w:p>
        </w:tc>
      </w:tr>
      <w:tr>
        <w:trPr>
          <w:trHeight w:val="203"/>
        </w:trPr>
        <w:tc>
          <w:tcPr>
            <w:tcW w:w="6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1120" w:type="dxa"/>
            <w:vAlign w:val="bottom"/>
            <w:gridSpan w:val="2"/>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7"/>
                <w:szCs w:val="17"/>
                <w:color w:val="auto"/>
              </w:rPr>
            </w:pPr>
          </w:p>
        </w:tc>
      </w:tr>
      <w:tr>
        <w:trPr>
          <w:trHeight w:val="203"/>
        </w:trPr>
        <w:tc>
          <w:tcPr>
            <w:tcW w:w="67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w:t>
            </w:r>
          </w:p>
        </w:tc>
        <w:tc>
          <w:tcPr>
            <w:tcW w:w="3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0.4</w:t>
            </w:r>
          </w:p>
        </w:tc>
        <w:tc>
          <w:tcPr>
            <w:tcW w:w="220" w:type="dxa"/>
            <w:vAlign w:val="bottom"/>
            <w:tcBorders>
              <w:bottom w:val="single" w:sz="8" w:color="CCEEFF"/>
            </w:tcBorders>
          </w:tcPr>
          <w:p>
            <w:pPr>
              <w:spacing w:after="0"/>
              <w:rPr>
                <w:sz w:val="17"/>
                <w:szCs w:val="17"/>
                <w:color w:val="auto"/>
              </w:rPr>
            </w:pPr>
          </w:p>
        </w:tc>
      </w:tr>
      <w:tr>
        <w:trPr>
          <w:trHeight w:val="196"/>
        </w:trPr>
        <w:tc>
          <w:tcPr>
            <w:tcW w:w="6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20.3</w:t>
            </w:r>
          </w:p>
        </w:tc>
        <w:tc>
          <w:tcPr>
            <w:tcW w:w="300" w:type="dxa"/>
            <w:vAlign w:val="bottom"/>
            <w:tcBorders>
              <w:bottom w:val="single" w:sz="8" w:color="CCEEFF"/>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87"/>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w:t>
            </w:r>
          </w:p>
        </w:tc>
        <w:tc>
          <w:tcPr>
            <w:tcW w:w="2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
        </w:trPr>
        <w:tc>
          <w:tcPr>
            <w:tcW w:w="6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19. RELATED-PARTY TRANSACTIONS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 is a party to a right of use agreement with Paragon Biosciences, LLC (“Paragon”) whereby it has access to and the right to use certain office space leased by Paragon in Chicago, IL. Paragon is an entity that shares common ownership with the Company. In addition, the Chairman of the Company’s board of directors is the Founder, Chairman and CEO of Paragon. The Company incurred $73 for each of the three months ended March 31, 2025, and 2024, in expenses to Paragon, which are included in general and administrative in the unaudited condensed consolidated statements of operations and comprehensive loss. As of March 31, 2025, and December 31, 2024, there were no amounts due to or due from related parties included in the unaudited condensed consolidated balance sheets.</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and financial position,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forward-looking statements. Important factors that could cause such differences include, but are not limited to, statements about:</w:t>
      </w:r>
    </w:p>
    <w:p>
      <w:pPr>
        <w:spacing w:after="0" w:line="154" w:lineRule="exact"/>
        <w:rPr>
          <w:sz w:val="20"/>
          <w:szCs w:val="20"/>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efforts and strategy for WAKIX;</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and clinical utility of pitolisant in additional indications, if approved, and any other product candidates we may develop or acquire, if approved;</w:t>
      </w:r>
    </w:p>
    <w:p>
      <w:pPr>
        <w:spacing w:after="0" w:line="154" w:lineRule="exact"/>
        <w:rPr>
          <w:rFonts w:ascii="Times New Roman" w:cs="Times New Roman" w:eastAsia="Times New Roman" w:hAnsi="Times New Roman"/>
          <w:sz w:val="18"/>
          <w:szCs w:val="18"/>
          <w:color w:val="auto"/>
        </w:rPr>
      </w:pPr>
    </w:p>
    <w:p>
      <w:pPr>
        <w:ind w:left="1040" w:right="239" w:hanging="315"/>
        <w:spacing w:after="0" w:line="251"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research and development plans, including our plans to explore the therapeutic potential of pitolisant in additional indications, progress developing the new Pitolisant Gastro-resistant (</w:t>
      </w:r>
      <w:r>
        <w:rPr>
          <w:rFonts w:ascii="Times New Roman" w:cs="Times New Roman" w:eastAsia="Times New Roman" w:hAnsi="Times New Roman"/>
          <w:sz w:val="18"/>
          <w:szCs w:val="18"/>
          <w:color w:val="auto"/>
        </w:rPr>
        <w:t>“</w:t>
      </w:r>
      <w:r>
        <w:rPr>
          <w:rFonts w:ascii="Arial" w:cs="Arial" w:eastAsia="Arial" w:hAnsi="Arial"/>
          <w:sz w:val="18"/>
          <w:szCs w:val="18"/>
          <w:color w:val="auto"/>
        </w:rPr>
        <w:t>Pitolisant GR</w:t>
      </w:r>
      <w:r>
        <w:rPr>
          <w:rFonts w:ascii="Times New Roman" w:cs="Times New Roman" w:eastAsia="Times New Roman" w:hAnsi="Times New Roman"/>
          <w:sz w:val="18"/>
          <w:szCs w:val="18"/>
          <w:color w:val="auto"/>
        </w:rPr>
        <w:t>”</w:t>
      </w:r>
      <w:r>
        <w:rPr>
          <w:rFonts w:ascii="Arial" w:cs="Arial" w:eastAsia="Arial" w:hAnsi="Arial"/>
          <w:sz w:val="18"/>
          <w:szCs w:val="18"/>
          <w:color w:val="auto"/>
        </w:rPr>
        <w:t>) and Pitolisant High Dose (</w:t>
      </w:r>
      <w:r>
        <w:rPr>
          <w:rFonts w:ascii="Times New Roman" w:cs="Times New Roman" w:eastAsia="Times New Roman" w:hAnsi="Times New Roman"/>
          <w:sz w:val="18"/>
          <w:szCs w:val="18"/>
          <w:color w:val="auto"/>
        </w:rPr>
        <w:t>“</w:t>
      </w:r>
      <w:r>
        <w:rPr>
          <w:rFonts w:ascii="Arial" w:cs="Arial" w:eastAsia="Arial" w:hAnsi="Arial"/>
          <w:sz w:val="18"/>
          <w:szCs w:val="18"/>
          <w:color w:val="auto"/>
        </w:rPr>
        <w:t>Pitolisant HD</w:t>
      </w:r>
      <w:r>
        <w:rPr>
          <w:rFonts w:ascii="Times New Roman" w:cs="Times New Roman" w:eastAsia="Times New Roman" w:hAnsi="Times New Roman"/>
          <w:sz w:val="18"/>
          <w:szCs w:val="18"/>
          <w:color w:val="auto"/>
        </w:rPr>
        <w:t>”</w:t>
      </w:r>
      <w:r>
        <w:rPr>
          <w:rFonts w:ascii="Arial" w:cs="Arial" w:eastAsia="Arial" w:hAnsi="Arial"/>
          <w:sz w:val="18"/>
          <w:szCs w:val="18"/>
          <w:color w:val="auto"/>
        </w:rPr>
        <w:t>) formulations, and the development of ZYN002, clemizole hydrochloride (</w:t>
      </w:r>
      <w:r>
        <w:rPr>
          <w:rFonts w:ascii="Times New Roman" w:cs="Times New Roman" w:eastAsia="Times New Roman" w:hAnsi="Times New Roman"/>
          <w:sz w:val="18"/>
          <w:szCs w:val="18"/>
          <w:color w:val="auto"/>
        </w:rPr>
        <w:t>“</w:t>
      </w:r>
      <w:r>
        <w:rPr>
          <w:rFonts w:ascii="Arial" w:cs="Arial" w:eastAsia="Arial" w:hAnsi="Arial"/>
          <w:sz w:val="18"/>
          <w:szCs w:val="18"/>
          <w:color w:val="auto"/>
        </w:rPr>
        <w:t>EPX-100</w:t>
      </w:r>
      <w:r>
        <w:rPr>
          <w:rFonts w:ascii="Times New Roman" w:cs="Times New Roman" w:eastAsia="Times New Roman" w:hAnsi="Times New Roman"/>
          <w:sz w:val="18"/>
          <w:szCs w:val="18"/>
          <w:color w:val="auto"/>
        </w:rPr>
        <w:t>”</w:t>
      </w:r>
      <w:r>
        <w:rPr>
          <w:rFonts w:ascii="Arial" w:cs="Arial" w:eastAsia="Arial" w:hAnsi="Arial"/>
          <w:sz w:val="18"/>
          <w:szCs w:val="18"/>
          <w:color w:val="auto"/>
        </w:rPr>
        <w:t>) and other compounds;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ongoing and planned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favorable insurance coverage and reimbursement for WAKIX;</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our ability to obtain, regulatory approvals for pitolisant for other indications as well as any other product candidates;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estimates regarding expenses, future revenue, capital requirements and additional financing needs;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acquire and integrate additional products or product candidates with significant commercial potential that are consistent with our commercial objectives;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marketing and manufacturing capabilities and strategy;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competition in our industry;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intellectual property position;</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loss or retirement of key members of management;</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successfully execute our growth strategy, including any delays in our planned future growth;</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maintain effective internal controls; and</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government laws and regulations.</w:t>
      </w:r>
    </w:p>
    <w:p>
      <w:pPr>
        <w:spacing w:after="0" w:line="22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 in our most recent Annual Report on Form 10-K entitled “Item 1A. Risk Factors” and the sections in this Quarterly Report on Form 10-Q titled “Risk Factors” and “Management’s Discussion and Analysis of Financial Condition and Results of Operations.”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5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Unless otherwise indicated, information contained in this Quarterly Report on Form 10-Q concerning our industry, including industry statistics and forecasts,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and forecasts in the estimates made by the independent parties and by us.</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used herein, the terms “Harmony,” “we,” “us,” “our” and “the Company” refer to Harmony Biosciences Holdings, Inc., a Delaware corporation and our operating subsidiary, Harmony Biosciences, LLC.</w:t>
      </w:r>
    </w:p>
    <w:p>
      <w:pPr>
        <w:spacing w:after="0" w:line="154"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Further, we have in-licensed from Bioprojet Soci</w:t>
      </w:r>
      <w:r>
        <w:rPr>
          <w:rFonts w:ascii="Times New Roman" w:cs="Times New Roman" w:eastAsia="Times New Roman" w:hAnsi="Times New Roman"/>
          <w:sz w:val="18"/>
          <w:szCs w:val="18"/>
          <w:color w:val="auto"/>
        </w:rPr>
        <w:t>é</w:t>
      </w:r>
      <w:r>
        <w:rPr>
          <w:rFonts w:ascii="Arial" w:cs="Arial" w:eastAsia="Arial" w:hAnsi="Arial"/>
          <w:sz w:val="18"/>
          <w:szCs w:val="18"/>
          <w:color w:val="auto"/>
        </w:rPr>
        <w:t>t</w:t>
      </w:r>
      <w:r>
        <w:rPr>
          <w:rFonts w:ascii="Times New Roman" w:cs="Times New Roman" w:eastAsia="Times New Roman" w:hAnsi="Times New Roman"/>
          <w:sz w:val="18"/>
          <w:szCs w:val="18"/>
          <w:color w:val="auto"/>
        </w:rPr>
        <w:t>é</w:t>
      </w:r>
      <w:r>
        <w:rPr>
          <w:rFonts w:ascii="Arial" w:cs="Arial" w:eastAsia="Arial" w:hAnsi="Arial"/>
          <w:sz w:val="18"/>
          <w:szCs w:val="18"/>
          <w:color w:val="auto"/>
        </w:rPr>
        <w:t xml:space="preserve"> Civile de Recherche (“Bioprojet”) the registered trademark product name WAKIX® in the United States. We also have registered trademark protection in the United States for KNOW NARCOLEPSY®, REM AT THE WRONG TIME® and NON-REM AT THE WRONG TIME®, as well as our brand and logo HB®, HB HARMONY BIOSCIENCES® and HARMONY BIOSCIENCES®. This report also includes trademarks, service marks and trade names of other companies. Trademarks, service marks and trade names appearing in this Quarterly Report on Form 10-Q are the property of their respective owners.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Company Overview</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At Harmony, we are cultivating a differentiated neuroscience company, rooted in innovation and driven by a commitment to addressing the unmet needs of patients living with neurological diseases. To date, we have focused on rare neurological diseases with a growing portfolio now spanning sleep/wake, neurobehavioral, and rare epilepsy, and we are harnessing scientific insights and pioneering approaches to advance meaningful treatments that help patients thrive.</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Sleep/Wake Franchise</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Pitolisant was developed by Bioprojet and approved by the EMA in 2016 for the treatment of narcolepsy in adult patients with or without cataplexy and in 2021 for the treatment of EDS in adult patients with obstructive sleep apnea. We acquired an exclusive license to develop, manufacture and commercialize pitolisant in the United States pursuant to our license agreement with Bioprojet (as amended, the “2017 LCA”) in July 2017. Pitolisant was granted Orphan Drug designation for the treatment of narcolepsy by the FDA in 2010. It received Breakthrough Therapy designation for the treatment of cataplexy in patients with narcolepsy and Fast Track designation for the treatment of EDS and cataplexy in patients with narcolepsy in April 2018. In August 2019, WAKIX was approved by the U.S. Food and Drug Administration (the “FDA”) for the treatment of EDS in adult patients with narcolepsy, and its U.S. commercial launch was initiated in November 2019. In October 2020, WAKIX was approved by the FDA for the treatment of cataplexy in adult patients with narcolepsy.</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We believe that pitolisant’s ability to regulate histamine mediated through histamine-3 receptor antagonist and inverse agonist activity gives it the potential to provide therapeutic benefit in other rare neurological diseases.</w:t>
      </w:r>
    </w:p>
    <w:p>
      <w:pPr>
        <w:spacing w:after="0" w:line="47"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are focusing our development efforts on other rare neurological disorders in which EDS is a prominent symptom, including Prader-Willi Syndrome (“PWS”) and myotonic dystrophy type 1, otherwise known as dystrophia myotonica (“DM1”). Based on the positive signals from the data from our Phase 2 proof-of-concept signal detection clinical trial to evaluate pitolisant for the treatment of EDS and other key behavioral symptoms in patients with PWS, an End-of-Phase 2 meeting with the FDA was held in June 2023. We aligned with the FDA on the proposed Phase 3 registration study design to support further investigation of pitolisant as a potential treatment to address the unmet medical need for children, adolescents and adults with PWS experiencing EDS, for which there is currently no approved treatment. In October 2023, we received FDA alignment regarding the study design for the Phase 3 TEMPO study in patients with PWS, which has the potential to serve as the registrational trial and also support our efforts to seek pediatric exclusivity for pitolisant. In February 2024, the FDA granted Orphan Drug designation to pitolisant for the treatment of PWS. The Phase 3 registrational trial, the TEMPO study, was initiated in the first quarter of 2024. In June 2021, we initiated a Phase 2 proof-of-concept signal detection clinical trial to evaluate pitolisant for the treatment of EDS, fatigue and cognitive dysfunction in adult patients with DM1 and announced topline results from this trial in the fourth quarter of 2023, in which clinically meaningful improvements were demonstrated in EDS and fatigue, the two most prominent non-muscular symptoms in patients with DM1. The safety and tolerability profile of pitolisant in adult patients with DM1 was consistent with the established safety and tolerability profile of pitolisant with no new safety signals detected and no serious adverse events reported.</w:t>
      </w:r>
    </w:p>
    <w:p>
      <w:pPr>
        <w:spacing w:after="0" w:line="18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Our partner, Bioprojet completed a Phase 3 trial in pediatric patients with narcolepsy and submitted the trial data to the European Medicines Agency (the “EMA”) seeking approval for a pediatric narcolepsy indication. In January 2023, Bioprojet received a positive opinion from the EMA’s Committee for Medicinal Products for Human Use (“CHMP”) and in March 2023, the EMA granted approval for the marketing authorization of WAKIX for the treatment of narcolepsy with or without cataplexy in children six and older. Based on the data from the positive Phase 3 trial conducted by Bioprojet, we submitted an sNDA for pediatric narcolepsy in December 2023. In June 2024, we announced that the FDA approved our sNDA for WAKIX for the treatment of EDS in pediatric patients six years of age and older with narcolepsy. In addition, in June 2024, the FDA did not approve our sNDA seeking to expand the WAKIX label for the treatment of pediatric patients with cataplexy. In October 2024, we held a Type A meeting with the FDA to discuss the pediatric cataplexy indication and reached alignment on a path to sNDA resubmission, which is planned for the second quarter of 2025.</w:t>
      </w:r>
    </w:p>
    <w:p>
      <w:pPr>
        <w:spacing w:after="0" w:line="18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remain committed to obtaining pediatric exclusivity for WAKIX. We believe the initiation of the PWS Phase 3 registrational trial, the TEMPO study, and our current data in pediatric narcolepsy, which resulted in the FDA’s approval of WAKIX in its current pediatric indication, are supportive of our efforts in obtaining pediatric exclusivity for WAKIX.</w:t>
      </w:r>
    </w:p>
    <w:p>
      <w:pPr>
        <w:spacing w:after="0" w:line="17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are expanding our pipeline through the acquisition of additional assets that focus on addressing the unmet needs of patients living with rare neurological diseases as well as patients living with other neurological diseases who have unmet medical needs. We are targeting assets that will allow us to further leverage the expertise and infrastructure that we have successfully built at Harmony so we can optimize the benefit of internal synergies. Consistent with this objective, in July 2022, we entered into a License and Commercialization Agreement (the “2022 LCA”) with Bioprojet whereby we obtained exclusive rights to manufacture, develop and commercialize one or more new products based on pitolisant in the United States and Latin America, with the potential to add additional indications and formulations upon the agreement of both parties. We have made progress in the development of two new formulations of pitolisant: Pitolisant GR and Pitolisant HD. Both formulations entered clinical studies in the fourth quarter of 2023. We received data from the Pitolisant GR pilot bioequivalence study, which supports further development of Pitolisant GR. We initiated the pivotal bioequivalence study in the first quarter of 2025 and anticipate the topline data readout in the third quarter of 2025. Our anticipated PDUFA date for Pitolisant GR is in 2026. We received data from the Pitolisant HD pilot pharmacokinetics study in June 2024, which also supports advancing this development program toward pivotal trials. Preparations are ongoing to initiate Phase 3 registrational trials in narcolepsy and</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idiopathic hypersomnia (“IH”) in the fourth quarter of 2025. Our anticipated PDUFA date for the Pitolisant HD narcolepsy and IH programs is in 2028. A phase 1b study was conducted to evaluate the safety and tolerability of pitolisant at repeat doses of up to 180mg and the initial results are consistent with the known safety profile of pitolisant and support advancement of the Pitolisant HD development program. Utility patents have been filed for Pitolisant GR and Pitolisant HD, with the potential for patent protection to the mid-2040’s.</w:t>
      </w:r>
    </w:p>
    <w:p>
      <w:pPr>
        <w:spacing w:after="0" w:line="17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April 2024, we entered into a sublicense agreement with Bioprojet for an orexin-2 receptor agonist (OX2R) (“BP1.15205”) to be evaluated for the treatment of narcolepsy and other potential indications (the “Sublicense”). Under the Sublicense, we have obtained the exclusive right to develop, manufacture and commercialize BP1.15205 in the United States and Latin American territories, which are rights that Bioprojet originally licensed from Teijin Pharma, the innovator of BP1.15205. We believe the pre-clinical data from BP1.15205 is promising and we plan to file an investigational medicinal product dossier (“IMPD”) with the EMA in mid-2025 and begin first-in-human studies in the second half of 2025.</w:t>
      </w:r>
    </w:p>
    <w:p>
      <w:pPr>
        <w:spacing w:after="0" w:line="185"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August 2021, we acquired HBS-102, a Melanin-concentrating hormone receptor type 1 (MCHR1) antagonist previously developed as CSTI-100/ALB-127258(a)/ALB-127258 (the “Compound”), along with intellectual property and other assets related to the development, manufacture, and commercialization of the Compound from ConSynance Therapeutics, Inc. We acquired full development and commercialization rights for HBS-102 globally, but we have provided an indication-limited grant-back license to ConSynance for the development and commercialization of the Compound in Greater China. We conducted a preclinical PoC study to assess the effect of HBS-102 on hyperphagia, weight gain and other metabolic parameters in a mouse model of PWS. The final report was received during the third quarter of 2024 and the results are consistent with the expected results. In addition, a 13-week toxicology study has been completed, and the preliminary results are encouraging.</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Neurobehavioral Franchise</w:t>
      </w:r>
    </w:p>
    <w:p>
      <w:pPr>
        <w:spacing w:after="0" w:line="21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In October 2023, we acquired Zynerba Pharmaceuticals, Inc. (“Zynerba”), adding global rights to develop, manufacture and commercialize ZYN002, which is a pharmaceutically manufactured 100% synthetic, patent protected permeation enhanced cannabidiol gel for transdermal delivery. Transdermal delivery is thought to provide better gastrointestinal tolerability and minimize the potential for drug interactions or impacts on liver function tests by avoiding first-pass metabolism in the liver. The most common adverse effect observed in clinical studies has been application site pain, which has occurred in less than 7% of patients. ZYN002 is currently in a Phase 3 registrational trial, the RECONNECT study, for the treatment of Fragile X Syndrome (“FXS”), which was designed to confirm the positive findings from the prespecified analysis of the primary outcome in the subgroup of patients with complete methylation from the CONNECT study conducted by Zynerba. We believe the total addressable market for ZYN002 among patients with FXS is approximately 25,000 people based on an estimated current FXS prevalence of up to 87,000 cases and up to 40,000 diagnosed FXS cases. We have completed recruitment in our ZYN002 Phase 3 registrational trial and topline data is on track for the third quarter of 2025. ZYN002 has patent protection for the treatment of FXS until 2038. Based on the positive proof-of-concept (“PoC”) study data obtained by Zynerba in 22q deletion syndrome, another rare disorder with prominent neurobehavioral symptoms, we plan to initiate a Phase 3 registrational study in 2025 in 22q deletion syndrome, pending positive data from the REFCONNECT study.</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Rare Epilepsy Franchise</w:t>
      </w:r>
    </w:p>
    <w:p>
      <w:pPr>
        <w:spacing w:after="0" w:line="19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April 2024, we acquired all of the outstanding capital stock of Epygenix Therapeutics, Inc. (“Epygenix”), pursuant to the terms of a stock purchase agreement (the “Epygenix Agreement”). As a result, we now have an exclusive license relating to the use of EPX-100 for the treatment of Dravet Syndrome (“DS”), Lennox-Gastaut Syndrome (“LGS”) and other developmental and epileptic encephalopathies (“DEEs”). Patients with both conditions often encounter severe refractory epilepsy and extreme co-morbidities or mortality without effective treatments, even with polypharmacy. As such, there is a recognized need for improved treatment options for both conditions. We believe the total addressable market for EPX-100 among patients with DS is approximately 5,000 people based on an estimated current DS prevalence of approximately 8,600 cases and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approximately 7,000 diagnosed DS cases. We believe the total addressable market for EPX-100 among patients with LGS is approximately 35,000 people based on an estimated current LGS prevalence of approximately 48,000 cases and 44,000 diagnosed LGS cases. EPX-100 has been granted orphan drug designation and rare pediatric disease designation by the FDA for treatment of both DS and LGS. EPX-100 is currently in a Phase 3 registrational clinical trial for DS and we initiated a Phase 3 registrational clinical trial in patients with LGS in the fourth quarter of 2024.</w:t>
      </w:r>
    </w:p>
    <w:p>
      <w:pPr>
        <w:spacing w:after="0" w:line="16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Additionally, we are currently developing a liquid formulation of lorcaserin for the treatment of DEEs (“EPX-200”), another asset acquired pursuant to the terms of the Epygenix Agreement. EPX-200 is currently in the pre-IND phase.</w:t>
      </w:r>
    </w:p>
    <w:p>
      <w:pPr>
        <w:spacing w:after="0" w:line="169"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Our operations are conducted by our wholly owned subsidiaries, Harmony Biosciences, LLC and Harmony Biosciences Management, Inc.</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Performance Metrics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As of March 31, 2025, we continued to see growth in the number of unique healthcare professional (“HCP”) prescribers of WAKIX since it became available in November 2019. There are approximately 9,000 HCPs who treat patients living with narcolepsy, with approximately 4,000 enrolled in oxybate risk-evaluation and mitigation strategies (“REMS”) and approximately 5,000 HCPs who do not participate in the oxybate REMS programs. The average number of patients on WAKIX for the three months ended March 31, 2025, was approximately 7,200, with approximately 7,300 patients on WAKIX as of March 31, 2025. Additionally, as of March 31, 2025, we have secured formulary access for more than 80% of all insured lives (Commercial, Medicare and Medicaid) in the United States.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product revenue includes gross product shipments less provisions for sales discounts and allowances, which includes trade allowances, rebates to government and commercial entities, and other discounts. Although we expect net sales to increase over time, provisions for sales discounts and allowances may fluctuate based on the mix of sales to different patient segments and/or changes in our estimates.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Cost of product sales includes manufacturing and distribution costs, the cost of API, FDA program fees, royalties due to third parties on net product sales, freight, shipping, handling, storage costs, depreciation and salaries of employees involved with oversight of production. We expect the cost of product sales to increase as we continue to ramp up production in order to meet future demand for WAKIX and diversify our supply chain for WAKIX.</w:t>
      </w:r>
    </w:p>
    <w:p>
      <w:pPr>
        <w:spacing w:after="0" w:line="176" w:lineRule="exact"/>
        <w:rPr>
          <w:sz w:val="20"/>
          <w:szCs w:val="20"/>
          <w:color w:val="auto"/>
        </w:rPr>
      </w:pPr>
    </w:p>
    <w:p>
      <w:pPr>
        <w:jc w:val="both"/>
        <w:ind w:left="60" w:right="79" w:firstLine="648"/>
        <w:spacing w:after="0" w:line="244" w:lineRule="auto"/>
        <w:rPr>
          <w:sz w:val="20"/>
          <w:szCs w:val="20"/>
          <w:color w:val="auto"/>
        </w:rPr>
      </w:pPr>
      <w:r>
        <w:rPr>
          <w:rFonts w:ascii="Arial" w:cs="Arial" w:eastAsia="Arial" w:hAnsi="Arial"/>
          <w:sz w:val="18"/>
          <w:szCs w:val="18"/>
          <w:color w:val="auto"/>
        </w:rPr>
        <w:t>The shelf life of WAKIX is four years from the date of manufacture, with the earliest expiration of current inventory expected to be January 2027. We regularly review our inventory levels and expect write-offs from time to time. We will continue to assess inventory levels in future periods as demand for WAKIX and the rate of inventory turnover evolves. We currently have adequate supply of WAKIX to cover demand into the first quarter of 2027, with additional API on-hand inventory to support at least two years beyond this time frame.</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Research and development expenses primarily include development programs for potential new indications for pitolisant in patients with PWS and DM1 and the development of our product candidates ZYN002, EPX-100, EPX-200 Pitolisant GR, Pitolisant HD, BP1.15205 and HBS-102. We also incur research and development expenses related to our team of Medical Science Liaisons (“MSLs”) who interact with key opinion</w:t>
      </w:r>
    </w:p>
    <w:p>
      <w:pPr>
        <w:sectPr>
          <w:pgSz w:w="11900" w:h="16838" w:orient="portrait"/>
          <w:cols w:equalWidth="0" w:num="1">
            <w:col w:w="9019"/>
          </w:cols>
          <w:pgMar w:left="1440" w:top="512"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leaders, with a focus on the science, the role of histamine in sleep-wake state stability and the novel mechanism of action of pitolisant. In addition, our MSLs support our market access team with the presentation of clinical data to payors upon request and our clinical development team to identify potential clinical trial sites. Research and development costs are expensed as incurred. We have significantly increased our research and development efforts as we advance our clinical programs and add product candidates to expand our pipeline. Research and development expenses also include:</w:t>
      </w:r>
    </w:p>
    <w:p>
      <w:pPr>
        <w:spacing w:after="0" w:line="179" w:lineRule="exact"/>
        <w:rPr>
          <w:sz w:val="20"/>
          <w:szCs w:val="20"/>
          <w:color w:val="auto"/>
        </w:rPr>
      </w:pPr>
    </w:p>
    <w:p>
      <w:pPr>
        <w:ind w:left="1040" w:right="519" w:hanging="315"/>
        <w:spacing w:after="0" w:line="270" w:lineRule="auto"/>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research and development personnel;</w:t>
      </w:r>
    </w:p>
    <w:p>
      <w:pPr>
        <w:spacing w:after="0" w:line="154" w:lineRule="exact"/>
        <w:rPr>
          <w:rFonts w:ascii="Times New Roman" w:cs="Times New Roman" w:eastAsia="Times New Roman" w:hAnsi="Times New Roman"/>
          <w:sz w:val="18"/>
          <w:szCs w:val="18"/>
          <w:color w:val="auto"/>
        </w:rPr>
      </w:pPr>
    </w:p>
    <w:p>
      <w:pPr>
        <w:ind w:left="1040" w:right="319" w:hanging="315"/>
        <w:spacing w:after="0" w:line="300" w:lineRule="auto"/>
        <w:tabs>
          <w:tab w:leader="none" w:pos="104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direct third-party costs such as expenses incurred under agreements with clinical research organizations (“CROs”), and contract development and manufacturing organizations (“CDMOs”);</w:t>
      </w:r>
    </w:p>
    <w:p>
      <w:pPr>
        <w:spacing w:after="0" w:line="131"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costs in connection with producing materials for use in conducting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packaging and labelling of clinical supplies;</w:t>
      </w:r>
    </w:p>
    <w:p>
      <w:pPr>
        <w:spacing w:after="0" w:line="224" w:lineRule="exact"/>
        <w:rPr>
          <w:rFonts w:ascii="Times New Roman" w:cs="Times New Roman" w:eastAsia="Times New Roman" w:hAnsi="Times New Roman"/>
          <w:sz w:val="18"/>
          <w:szCs w:val="18"/>
          <w:color w:val="auto"/>
        </w:rPr>
      </w:pPr>
    </w:p>
    <w:p>
      <w:pPr>
        <w:ind w:left="1040" w:right="279" w:hanging="315"/>
        <w:spacing w:after="0" w:line="270" w:lineRule="auto"/>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other third-party expenses (e.g., consultants, advisors) directly attributable to the development of our product candidates;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acquired in-process research and development; and</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amortization expense for assets used in research and development activities.</w:t>
      </w:r>
    </w:p>
    <w:p>
      <w:pPr>
        <w:spacing w:after="0" w:line="22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 significant portion of our research and development costs are external costs, such as fees paid to CROs and CDMOs, central laboratories, contractors, and consultants in connection with our clinical development programs. Internal expenses primarily relate to personnel who are deployed across multiple programs.</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Product candidates in later stages of clinical development generally have higher development costs in the current period than those in earlier stages of clinical development, primarily due to the increased size and duration of later-stage clinical trials, milestone payments, and the cost of submitting an NDA to the FDA (and/or other regulatory authorities). We expect our research and development expenses to be significant as we advance our current clinical development programs and prepare to seek regulatory approval for additional indications for pitolisant, complete the Phase 3 clinical trials for ZYN002, EPX-100 and advance the development of Pitolisant GR, Pitolisant HD, BP1.15205 and HBS-102 toward new indications.</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any additional indications for pitolisant or other product candidates that we move forward for regulatory approval. There are numerous risks and uncertainties associated with developing product candidates, including uncertainty related to:</w:t>
      </w:r>
    </w:p>
    <w:p>
      <w:pPr>
        <w:spacing w:after="0" w:line="174" w:lineRule="exact"/>
        <w:rPr>
          <w:sz w:val="20"/>
          <w:szCs w:val="20"/>
          <w:color w:val="auto"/>
        </w:rPr>
      </w:pPr>
    </w:p>
    <w:p>
      <w:pPr>
        <w:ind w:left="1040" w:right="11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costs and timing of clinical trials of our current development programs and any further clinical trials related to new product candidates;</w:t>
      </w:r>
    </w:p>
    <w:p>
      <w:pPr>
        <w:spacing w:after="0" w:line="154" w:lineRule="exact"/>
        <w:rPr>
          <w:rFonts w:ascii="Times New Roman" w:cs="Times New Roman" w:eastAsia="Times New Roman" w:hAnsi="Times New Roman"/>
          <w:sz w:val="18"/>
          <w:szCs w:val="18"/>
          <w:color w:val="auto"/>
        </w:rPr>
      </w:pPr>
    </w:p>
    <w:p>
      <w:pPr>
        <w:ind w:left="1040" w:right="33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financial and other resources to complete the necessary preclinical studies and clinical trials;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acceptance of INDs for our planned clinical trials or future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and timely enrollment and completion of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completion of preclinical studies and clinical trials;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5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data from our clinical programs that support an acceptable risk-benefit profile of our product candidates in the intended populations;</w:t>
      </w:r>
    </w:p>
    <w:p>
      <w:pPr>
        <w:spacing w:after="0" w:line="154" w:lineRule="exact"/>
        <w:rPr>
          <w:rFonts w:ascii="Times New Roman" w:cs="Times New Roman" w:eastAsia="Times New Roman" w:hAnsi="Times New Roman"/>
          <w:sz w:val="18"/>
          <w:szCs w:val="18"/>
          <w:color w:val="auto"/>
        </w:rPr>
      </w:pPr>
    </w:p>
    <w:p>
      <w:pPr>
        <w:ind w:left="1040" w:right="49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and maintenance of regulatory and marketing approvals from applicable regulatory authorities;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product candidate is approved;</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entry into collaborations to further the development of our product candidates;</w:t>
      </w:r>
    </w:p>
    <w:p>
      <w:pPr>
        <w:spacing w:after="0" w:line="224" w:lineRule="exact"/>
        <w:rPr>
          <w:rFonts w:ascii="Times New Roman" w:cs="Times New Roman" w:eastAsia="Times New Roman" w:hAnsi="Times New Roman"/>
          <w:sz w:val="18"/>
          <w:szCs w:val="18"/>
          <w:color w:val="auto"/>
        </w:rPr>
      </w:pPr>
    </w:p>
    <w:p>
      <w:pPr>
        <w:ind w:left="1040" w:right="67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and maintaining patent and trade secret protection or regulatory exclusivity for our product candidates; and</w:t>
      </w:r>
    </w:p>
    <w:p>
      <w:pPr>
        <w:spacing w:after="0" w:line="154" w:lineRule="exact"/>
        <w:rPr>
          <w:rFonts w:ascii="Times New Roman" w:cs="Times New Roman" w:eastAsia="Times New Roman" w:hAnsi="Times New Roman"/>
          <w:sz w:val="18"/>
          <w:szCs w:val="18"/>
          <w:color w:val="auto"/>
        </w:rPr>
      </w:pPr>
    </w:p>
    <w:p>
      <w:pPr>
        <w:ind w:left="1040" w:right="67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launching our product candidates and achieving commercial sales, if and when approved.</w:t>
      </w:r>
    </w:p>
    <w:p>
      <w:pPr>
        <w:spacing w:after="0" w:line="15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programs or any product candidate we develop would significantly change the costs, timing and viability associated with the development and/or regulatory approval of such programs or product candidates.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sales and marketing expenses primarily relate to the market development and commercialization activities of WAKIX for the treatment of EDS and cataplexy in adult patients with narcolepsy. Market development and commercial activities account for a significant portion of our operating expenses and are expensed as incurred. We expect our sales and marketing expenses to increase in the near- and mid-term to support WAKIX’s indications for the treatment of EDS or cataplexy in adult patients with narcolepsy, the treatment of EDS in pediatric patients 6 years of age and older with narcolepsy and to expand our portfolio with the anticipated growth from potential additional indications.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Sales and marketing expenses include:</w:t>
      </w:r>
    </w:p>
    <w:p>
      <w:pPr>
        <w:spacing w:after="0" w:line="212" w:lineRule="exact"/>
        <w:rPr>
          <w:sz w:val="20"/>
          <w:szCs w:val="20"/>
          <w:color w:val="auto"/>
        </w:rPr>
      </w:pPr>
    </w:p>
    <w:p>
      <w:pPr>
        <w:ind w:left="1040" w:right="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sales, marketing and market access personnel;</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healthcare professional-related expenses, including marketing programs, healthcare professional promotional medical education, disease education, conference exhibits and market research;</w:t>
      </w:r>
    </w:p>
    <w:p>
      <w:pPr>
        <w:spacing w:after="0" w:line="154"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patient-related expenses, including patient awareness and education programs, disease awareness education, patient reimbursement programs, patient support services and market research;</w:t>
      </w:r>
    </w:p>
    <w:p>
      <w:pPr>
        <w:spacing w:after="0" w:line="170"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access expenses, including payor education, specialty pharmacy programs and services to support the continued commercialization of WAKIX; and</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secondary data purchases (i.e., patient claims and prescription data), data warehouse development and data management.</w:t>
      </w:r>
    </w:p>
    <w:p>
      <w:pPr>
        <w:spacing w:after="0" w:line="154"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In addition, sales and marketing expenses include external costs such as website development, media placement fees, agency fees for patient, medical education and promotional expenses, market research, analysis of secondary data, conference fees and consulting fees.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General and administrative expenses consist primarily of employee-related expenses, such as salaries, share-based compensation, benefits and travel expenses for our personnel in executive, legal, finance and accounting, human resources, investor relations, and other administrative departments. General and administrative expenses also consist of office leases, and professional fees, including legal, tax and accounting, insurance and consulting fees.</w:t>
      </w:r>
    </w:p>
    <w:p>
      <w:pPr>
        <w:spacing w:after="0" w:line="1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commercialization efforts, ongoing and future potential research and development activities, and increased costs of operating as a public company. These increases will likely be driven by costs associated with the hiring of additional personnel and fees paid to outside consultants, lawyers and accountants, among other expenses. Additionally, we anticipate increased costs associated with being a public company, including expenses related to services associated with maintaining compliance with the requirements of Nasdaq and the SEC, insurance and investor relations costs. If any of our current or future indication expansion programs or new product candidates obtain U.S. regulatory approval, we expect that we would incur significantly increased expenses associated with building a sales and marketing team.</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Paragon Agreement</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party to a right-of-use agreement with Paragon Biosciences, LLC (“Paragon”) whereby we have access to and the right to use certain office space leased by Paragon in Chicago, Illinois. For the three months ended March 31, 2025, we paid fees of $0.1 million pursuant to this agreement.</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Expense</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Interest expense consists primarily of interest expense on debt facilities, amortization of debt issuance costs and amortization of premiums on our debt securities.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Income</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Interest income consists primarily of cash interest earned on our cash and investment balances and accretion of the discount on our investments in debt securities.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60" w:right="359" w:firstLine="648"/>
        <w:spacing w:after="0" w:line="255" w:lineRule="auto"/>
        <w:rPr>
          <w:sz w:val="20"/>
          <w:szCs w:val="20"/>
          <w:color w:val="auto"/>
        </w:rPr>
      </w:pPr>
      <w:r>
        <w:rPr>
          <w:rFonts w:ascii="Arial" w:cs="Arial" w:eastAsia="Arial" w:hAnsi="Arial"/>
          <w:sz w:val="18"/>
          <w:szCs w:val="18"/>
          <w:color w:val="auto"/>
        </w:rPr>
        <w:t>The following table sets forth selected items in our unaudited condensed consolidated statements of operations for the periods presented:</w:t>
      </w:r>
    </w:p>
    <w:tbl>
      <w:tblPr>
        <w:tblLayout w:type="fixed"/>
        <w:tblInd w:w="6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520" w:type="dxa"/>
            <w:vAlign w:val="bottom"/>
            <w:gridSpan w:val="7"/>
          </w:tcPr>
          <w:p>
            <w:pPr>
              <w:ind w:left="60"/>
              <w:spacing w:after="0" w:line="159" w:lineRule="exact"/>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5"/>
          </w:tcPr>
          <w:p>
            <w:pPr>
              <w:jc w:val="right"/>
              <w:ind w:right="591"/>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product revenue</w:t>
            </w:r>
          </w:p>
        </w:tc>
        <w:tc>
          <w:tcPr>
            <w:tcW w:w="160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184,733</w:t>
            </w:r>
          </w:p>
        </w:tc>
        <w:tc>
          <w:tcPr>
            <w:tcW w:w="2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7"/>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154,615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sales</w:t>
            </w:r>
          </w:p>
        </w:tc>
        <w:tc>
          <w:tcPr>
            <w:tcW w:w="14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31,994</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27,484</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152,739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127,131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34,540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22,189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80"/>
              <w:spacing w:after="0" w:line="202" w:lineRule="exact"/>
              <w:rPr>
                <w:sz w:val="20"/>
                <w:szCs w:val="20"/>
                <w:color w:val="auto"/>
              </w:rPr>
            </w:pPr>
            <w:r>
              <w:rPr>
                <w:rFonts w:ascii="Arial" w:cs="Arial" w:eastAsia="Arial" w:hAnsi="Arial"/>
                <w:sz w:val="18"/>
                <w:szCs w:val="18"/>
                <w:color w:val="auto"/>
              </w:rPr>
              <w:t>Sales and marketing</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30,711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27,233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14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31,243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25,676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Pr>
          <w:p>
            <w:pPr>
              <w:spacing w:after="0" w:line="196" w:lineRule="exact"/>
              <w:rPr>
                <w:sz w:val="20"/>
                <w:szCs w:val="20"/>
                <w:color w:val="auto"/>
              </w:rPr>
            </w:pPr>
            <w:r>
              <w:rPr>
                <w:rFonts w:ascii="Arial" w:cs="Arial" w:eastAsia="Arial" w:hAnsi="Arial"/>
                <w:sz w:val="18"/>
                <w:szCs w:val="18"/>
                <w:color w:val="auto"/>
              </w:rPr>
              <w:t>Total operating expenses</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96,494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75,098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56,245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52,033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 income, net</w:t>
            </w: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(3,836)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(4,535)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4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5,044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4,428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Pr>
          <w:p>
            <w:pPr>
              <w:spacing w:after="0" w:line="196" w:lineRule="exact"/>
              <w:rPr>
                <w:sz w:val="20"/>
                <w:szCs w:val="20"/>
                <w:color w:val="auto"/>
              </w:rPr>
            </w:pPr>
            <w:r>
              <w:rPr>
                <w:rFonts w:ascii="Arial" w:cs="Arial" w:eastAsia="Arial" w:hAnsi="Arial"/>
                <w:sz w:val="18"/>
                <w:szCs w:val="18"/>
                <w:color w:val="auto"/>
              </w:rPr>
              <w:t>Net income before provision for income taxes</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57,177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51,785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4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(11,617)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(13,451)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gridSpan w:val="2"/>
          </w:tcPr>
          <w:p>
            <w:pPr>
              <w:spacing w:after="0" w:line="196" w:lineRule="exact"/>
              <w:rPr>
                <w:sz w:val="20"/>
                <w:szCs w:val="20"/>
                <w:color w:val="auto"/>
              </w:rPr>
            </w:pPr>
            <w:r>
              <w:rPr>
                <w:rFonts w:ascii="Arial" w:cs="Arial" w:eastAsia="Arial" w:hAnsi="Arial"/>
                <w:sz w:val="18"/>
                <w:szCs w:val="18"/>
                <w:color w:val="auto"/>
              </w:rPr>
              <w:t>Net income</w:t>
            </w:r>
          </w:p>
        </w:tc>
        <w:tc>
          <w:tcPr>
            <w:tcW w:w="140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45,560</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38,334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product revenue increased by $30.1 million, or 19.5%, for the three months ended March 31, 2025, compared to the same period in 2024. The increase for the three months ended March 31, 2025, was primarily due to a 17% increase in the number of units shipped, and the impact of a 7% price increase partially offset by higher rebates of approximately 4%. The price increase occurred in January 2025.</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Cost of product sales increased by $4.5 million, or 16.4%, for the three months ended March 31, 2025, compared to the same period in 2024. Cost of product sales as a percentage of net product revenue was 17.3% for the three months ended March 31, 2025, compared to 17.8% for the three months ended March 31, 2024. The increase in cost of product sales was primarily due to the increase in sales of WAKIX.</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is a summary of our research and development expenses: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43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r>
      <w:tr>
        <w:trPr>
          <w:trHeight w:val="196"/>
        </w:trPr>
        <w:tc>
          <w:tcPr>
            <w:tcW w:w="43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Pitolisant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20" w:type="dxa"/>
            <w:vAlign w:val="bottom"/>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ZYN002</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8,476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3,879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4,597</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EPX-100</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20" w:type="dxa"/>
            <w:vAlign w:val="bottom"/>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Pitolisant GR and Pitolisant HD</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1,214</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expenses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20" w:type="dxa"/>
            <w:vAlign w:val="bottom"/>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931</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research and development</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2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8"/>
                <w:szCs w:val="18"/>
                <w:color w:val="auto"/>
              </w:rPr>
            </w:pPr>
          </w:p>
        </w:tc>
      </w:tr>
      <w:tr>
        <w:trPr>
          <w:trHeight w:val="196"/>
        </w:trPr>
        <w:tc>
          <w:tcPr>
            <w:tcW w:w="432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34,540</w:t>
            </w:r>
          </w:p>
        </w:tc>
        <w:tc>
          <w:tcPr>
            <w:tcW w:w="22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22,189</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12,351</w:t>
            </w:r>
          </w:p>
        </w:tc>
        <w:tc>
          <w:tcPr>
            <w:tcW w:w="20" w:type="dxa"/>
            <w:vAlign w:val="bottom"/>
          </w:tcPr>
          <w:p>
            <w:pPr>
              <w:spacing w:after="0"/>
              <w:rPr>
                <w:sz w:val="17"/>
                <w:szCs w:val="17"/>
                <w:color w:val="auto"/>
              </w:rPr>
            </w:pPr>
          </w:p>
        </w:tc>
      </w:tr>
      <w:tr>
        <w:trPr>
          <w:trHeight w:val="20"/>
        </w:trPr>
        <w:tc>
          <w:tcPr>
            <w:tcW w:w="4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3"/>
        </w:trPr>
        <w:tc>
          <w:tcPr>
            <w:tcW w:w="4320" w:type="dxa"/>
            <w:vAlign w:val="bottom"/>
          </w:tcPr>
          <w:p>
            <w:pPr>
              <w:spacing w:after="0"/>
              <w:rPr>
                <w:sz w:val="24"/>
                <w:szCs w:val="24"/>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4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Research and development expenses increased by $12.4 million, or 55.7%, for the three months ended March 31, 2025, compared to the same period in 2024. The increase for the three months ended March 31, 2025 was primarily driven by a $6.5 million increase in research and development expenses for the recently acquired product candidate, EPX-100, a combined $5.8 million increase in research and development expenses for ZYN002 and Pitolisant GR and HD as we ramp up development and manufacturing, a $2.1 million increase in personnel costs associated with higher headcount, a $0.9 million increase in stock compensation associated with new awards, and a $0.6 million increase in other research and development, primarily due to preclinical work related to BP1.1520, partially offset by a $3.7 million decrease in clinical development associated with pitolisant, driven by a decrease for the IH indication.</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Sales and marketing expenses increased by $3.5 million, or 12.8%, for the three months ended March 31, 2025, compared to the same period in 2024. The increase for the three months ended March 31, 2025, was primarily due to a $ 1.9 million increase in patient engagement and marketing activities, a $0.7 million increase in personnel costs and a $0.7 million increase in stock compensation expense. The increase in patient engagement and marketing activities was driven by our continued growth of WAKIX and the increase in personnel costs and stock compensation for the three months ended March 31, 2025, was related to costs associated with the separation of an executive of the Company.</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General and administrative expenses increased by $5.6 million, or 21.7%, for the three months ended March 31, 2025, compared to the same period in 2024. The increase in the three months ended March 31, 2025, was primarily due to a $4.5 million increase in legal and professional fees, primarily associated with patent lawsuits, a $0.4 million increase in stock compensation associated with new awards, and a $0.7 million increase in personnel costs associated with higher headcount.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Expense</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Interest expense decreased by $0.7 million, or 15.4%, for the three months ended March 31, 2025, compared to the same period in 2024. The decrease for the three months ended March 31, 2025, was primarily due to lower interest rates as a result of the reduction of the Term SOFR.</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Income</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Interest income increased by $0.6 million, or 13.9%, for the three months ended March 31, 2025, compared to the same period in 2024. The increase for the three months ended March 31, 2025, was primarily a result of having higher invested balances compared to the prior year.</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Income tax expense was $11.6 million, representing a 20.3% effective tax rate, for the three months ended March 31, 2025, compared to $ 13.5 million, representing a 26.0% effective tax rate, for the three months ended March 31, 2024. The decrease in our effective tax rate for the three months ended March 31, 2025, was primarily driven by an increase in the benefits from research and development and orphan drug credits and a decrease in state taxes. The effective tax rate of 20.3% for the three months ended March 31, 2025, included 1.1% in state income taxes, partially offset by a 2.4% benefit from credits.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Sources of Funding and Capital Resources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As of March 31, 2025, we had cash, cash equivalents, and investments of $610.2 million, outstanding debt of $177.5 million and retained earnings of $47.8 million.</w:t>
      </w:r>
    </w:p>
    <w:p>
      <w:pPr>
        <w:spacing w:after="0" w:line="15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unaudited condensed consolidated financial statements have been prepared as though we will continue as a going concern, which contemplates the realization of assets and satisfaction of liabilities in the normal course of business.</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believe that our existing cash, cash equivalents and investments on hand as of March 31, 2025, will enable us to meet our operational liquidity needs and fund our potential investing activities for the next 12 months. We have based our liquidity and cash flow projections on assumptions that may prove to be incorrect, and we could use our capital resources sooner than we expect.</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 Loan A Credit Agreement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July 2023, we entered into a Credit Agreement (the “TLA Credit Agreement”) with JPMorgan Chase Bank, N.A., as “Administrative Agent”, and certain lenders, which was subsequently amended in September 2023. The TLA Credit Agreement, as amended, provides for a five-year senior secured term loan (the “TLA Term Loan”) in an aggregate principal amount of $200.0 million.</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repayment schedule for the TLA Term Loan consists of $3.8 million quarterly principal payments, which commence on December 31, 2023, increasing to $5.0 million quarterly principal payments beginning on December 31, 2025, with a $115.0 million payment due on the maturity date of July 26, 2028. The TLA Term Loan bears interest at a per annum rate equal to, at our option, (i) a base rate plus a specified margin ranging from 2.50% to 3.00%, based on our senior secured net leverage ratio (as defined in the TLA Credit Agreement) or (ii) Term SOFR plus a credit spread adjustment of 0.10% plus a specified margin ranging from 3.50% to 4.00%, based on our senior secured net leverage ratio.</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TLA Credit Agreement contains customary affirmative and negative covenants, financial covenants, representations and warranties, events of default and other provisions. We were in compliance with all covenants as of March 31, 2025.</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 Repurchases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October 2023, our Board of Directors approved a share repurchase program (the “October 2023 Repurchase Program”) providing for the repurchase of shares of common stock in an aggregate amount of up to $200,000, excluding commissions and transaction fees. The October 2023 Repurchase Program may be suspended, terminated, or modified at any time for any reason. During the three months ended March 31, 2025, no shares of common stock were repurchased and cancelled by the Company under the October 2023 Repurchase Program. As of March 31, 2025, the remaining amount of common stock authorized for repurchases was $150.0 million.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Epygenix Acquisition</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April 2024, we acquired all of the outstanding capital stock of Epygenix, pursuant to the terms of a stock purchase agreement. In connection with the closing of the transaction, we paid the former stockholders of Epygenix up front consideration of $35.0 million less a working capital adjustment. In addition, we will also be obligated to pay up to $130.0 million upon the achievement of development and regulatory milestones and up to $515.0 million upon the achievement of certain sales-based milestones, in each case to Epygenix’s former stockholders. As a result, the Company now has an exclusive license relating to the use of clemizole, initially for the treatment of DS and LGS.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ConSynance Agreement</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August 2021, we entered into an asset purchase agreement with ConSynance Therapeutics, Inc. (the “APA”) to acquire HBS-102, a potential first-in-class molecule with a novel mechanism of action. Under the terms of the APA, we acquired full development and commercialization rights globally, with the exception of Greater China, for $3.5 million. In March 2023, we achieved a preclinical milestone, which triggered a $0.8 million payment under the provisions of the APA, which we recognized as an IPR&amp;D charge recorded in research and development within the consolidated statement of operations and comprehensive income for the year ended December 31, 2023. In September 2024, we achieved a milestone for preclinical proof-of concept, which triggered a $1.0 million payment under the provisions of the APA, which we recognized as an IPR&amp;D charge recorded in research and development within the consolidated statement of operations and comprehensive income for the year ended December 31, 2024. There are additional payments due upon the achievement of certain milestones, including $ 19.0 million for development milestones, $44.0 million for regulatory milestones and $110.0 million for sales milestones.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Bioprojet Agreements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April 2024, we entered into a sublicense agreement with Bioprojet for an orexin-2 receptor agonist (OX2R) (the “Licensed Compound”) to be evaluated for the treatment of narcolepsy and other potential indications (the “Sublicense”). Under the Sublicense, the Company obtained the exclusive right to develop, manufacture and commercialize the Licensed Compound in the United States and Latin American territories (the “Licensed Territories”), which are rights that Bioprojet originally licensed from Teijin Pharma, the innovator of the Licensed Compound. The Licensed Compound is currently in pre-clinical development with a Clinical Trial Application currently anticipated in mid-2025. Under the Sublicense, the Company paid Bioprojet an upfront license fee of $25.5 million and will also be obligated to pay up to $127.5 million upon achievement of development and regulatory milestones and up to $ 240.0 million upon achievement of sales-based milestones, as well as royalty rates in the mid-teens on potential sales in the Licensed Territories.</w:t>
      </w:r>
    </w:p>
    <w:p>
      <w:pPr>
        <w:spacing w:after="0" w:line="274"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July 2022, we entered into the 2022 LCA with Bioprojet whereby we obtained exclusive rights to manufacture, develop and commercialize one or more new products based on pitolisant in the United States and Latin America, with the potential to add additional indications and formulations upon the agreement of both parties. We paid an initial, non-refundable $30.0 million licensing fee in October 2022 and additional payments of up to $155.0 million are potentially due under the 2022 LCA upon the achievement of certain future development and sales-based milestones. In addition, certain payments will become due upon the achievement of development milestones for new indications and formulations as agreed upon by both parties. The 2022 LCA also includes a fixed trademark royalty and a tiered royalty based on net sales of any new products commercialized, which will be payable to Bioprojet on a quarterly basis.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Milestones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In September 2024, we achieved a preclinical milestone, which triggered a $1.0 million payment under the provisions of the APA, which was paid in October 2024.</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12"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8"/>
          <w:szCs w:val="18"/>
          <w:color w:val="auto"/>
        </w:rPr>
        <w:t>The following table sets forth a summary of our cash flows for the three months ended March 31, 2025, and 2024:</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26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6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Selected cash flow data</w:t>
            </w: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6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20" w:type="dxa"/>
            <w:vAlign w:val="bottom"/>
            <w:gridSpan w:val="4"/>
          </w:tcPr>
          <w:p>
            <w:pPr>
              <w:jc w:val="right"/>
              <w:ind w:right="535"/>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Cash provided by (used in):</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39"/>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33,987</w:t>
            </w:r>
          </w:p>
        </w:tc>
        <w:tc>
          <w:tcPr>
            <w:tcW w:w="22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31,141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640" w:type="dxa"/>
            <w:vAlign w:val="bottom"/>
            <w:gridSpan w:val="2"/>
          </w:tcPr>
          <w:p>
            <w:pPr>
              <w:ind w:left="10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Operating Activities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Net cash provided by operating activities for the three ended March 31, 2025, primarily consisted of net income of $45.6 million adjusted for non-cash items of $12.5 million related to stock-based compensation expense, and $6.0 million related to intangible amortization and depreciation, offset by $4.3 million related to deferred tax assets. Net working capital excluding cash increased by $25.9 million, primarily driven by increases in accounts receivable due to higher net product revenue in the current period and increases in accounts payable due to the timing of payments.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Investing Activities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Net cash provided by investing activities for the three months ended March 31, 2025, was $2.4 million, which was primarily attributable to $19.1 million in purchases of debt securities and $0.1 million in purchases of property and equipment, partially offset by $21.6 million from maturities of investments.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Financing Activities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used in financing activities for the three months ended March 31, 2025, was $0.4 million, which primarily consisted of $3.8 million in principal payments associated with the TLA Credit Agreement and $1.3 million of employee withholding tax payments related to stock-based awards, partially offset by $4.7 million in proceeds from the exercise of stock options.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Critical Accounting Estimates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accounting principles generally accepted in the United States of America, or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GAAP, we evaluate our estimates and judgments on an ongoing basis.</w:t>
      </w:r>
    </w:p>
    <w:p>
      <w:pPr>
        <w:spacing w:after="0" w:line="18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Significant estimates include assumptions used in the determination of the amount of revenue recognized on sales of WAKIX, costs incurred under services type agreements related to the performance of research and development activities, the measurement of compensation expense pursuant to stock-based awards, the calculation of our income tax provision, and the determination of accounting treatment for our business combinations. We base our estimates on contractual terms, historical experience,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define our critical accounting policies as those under GAAP that require us to make subjective estimates and judgments about matters that are uncertain and are likely to have a material impact on our financial condition and results of operations, as well as the specific manner in which we apply those principles. During the quarter covered by this report, there were no material changes to the accounting policies and assumptions previously disclosed, except as disclosed in Note 3 to the unaudited condensed consolidated financial statements contained herein.</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699" w:firstLine="648"/>
        <w:spacing w:after="0" w:line="271" w:lineRule="auto"/>
        <w:rPr>
          <w:sz w:val="20"/>
          <w:szCs w:val="20"/>
          <w:color w:val="auto"/>
        </w:rPr>
      </w:pPr>
      <w:r>
        <w:rPr>
          <w:rFonts w:ascii="Arial" w:cs="Arial" w:eastAsia="Arial" w:hAnsi="Arial"/>
          <w:sz w:val="18"/>
          <w:szCs w:val="18"/>
          <w:color w:val="auto"/>
        </w:rPr>
        <w:t>See Note 3 to our unaudited condensed consolidated financial statements for recent accounting pronouncements.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Rate Fluctuation Risk</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are exposed to market risk related to changes in interest rates. We invest a portion of our cash in investment-grade, interest-bearing securities. The primary objectives of our investment activities are to preserve principal, maintain liquidity and maximize total return. In order to achieve these objectives, we invest in money market funds, U.S. government and agency securities, corporate bonds and commercial paper in accordance with our investment policy. Our investment policy defines allowable investments and establishes guidelines relating to credit quality, diversification, and maturities of our investments to preserve principal and maintain liquidity. All investment securities have a credit rating of at least A-2/P-2/F2 from at least two National Recognized Statistical Rating Organizations. We do not have any direct investments in asset-backed securities, collateralized debt or loan obligations, or structured investment vehicles. Our primary exposure to market risk is interest income sensitivity, which is affected by changes in the general level of U.S. interest rates. Based on our $423.4 million of investments in money market funds, U.S. treasury notes, corporate bonds and municipal obligations as of March 31, 2025, an immediate 10% change in market interest rates would not have a material impact on the fair market value of our investment portfolio or on our financial position or results of operations.</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As of March 31, 2025, we had $177.5 million in borrowings outstanding. The Term Loan bears interest at a per annum rate equal to, at our option, (i) a base rate plus a specified margin ranging from 2.50% to 3.00%, based on our senior secured net leverage ratio (as defined in the TLA Credit Agreement) or (ii) Term SOFR plus a credit spread adjustment of 0.10% plus a specified margin ranging from 3.50% to 4.00%, based on our senior secured net leverage ratio. Based on the $177.5 million of principal outstanding as of March 31, 2025, an immediate 10% change in the Term SOFR would not have a material impact on our debt-related obligations, financial position or results of operations.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Foreign Currency Fluctuation Risk</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have contracted with and may continue to contract with foreign vendors that are located in Europe. Our operations may be subject to fluctuations in foreign currency exchange rates in the future.</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Inflation Fluctuation Risk</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for each of the three months ended March 31, 2025, and 2024.</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management, including our principal executive officer and our principal financial officer, has evaluated the effectiveness of our disclosure controls and procedures, as defined in Rules 13a-15(e) and 15d-15(e) under the Exchange Act, as of March 31, 2025. Based on that evaluation, our principal executive officer and principal financial officer concluded that, as of March 31, 2025, our disclosure controls and procedures were effective to provide reasonable assurance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2025, that have materially affected, or are reasonably likely to materially affect, our internal control over financial reporting.</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r>
        <w:rPr>
          <w:rFonts w:ascii="Arial" w:cs="Arial" w:eastAsia="Arial" w:hAnsi="Arial"/>
          <w:sz w:val="18"/>
          <w:szCs w:val="18"/>
          <w:b w:val="1"/>
          <w:bCs w:val="1"/>
          <w:i w:val="1"/>
          <w:iCs w:val="1"/>
          <w:color w:val="auto"/>
        </w:rPr>
        <w: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w:t>
      </w:r>
    </w:p>
    <w:p>
      <w:pPr>
        <w:spacing w:after="0" w:line="17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Refer to Part I, Item I, Note 13 “Commitments and Contingencies,” of this Quarterly Report for a full description of our material pending legal matters.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addition to the other information included in this report, you should carefully consider the discussion of risk factors affecting the Company as set forth in Part I, Item 1A "Risk Factors” included in our Annual Report on Form 10-K for the year ended December 31, 2024, which could materially affect our business, financial condition or future results. The risks described in these reports are not the only risks facing the Company. Additional risks and uncertainties not currently known to us or that we currently deem to be immaterial may also materially adversely affect our business, financial condition, and operating results.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Rule 10b5-1 Trading Arrangements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On February 26, 2025, Andrew Serafin, Chief Strategy Officer of the Company, adopted a Rule 10b5-1 trading arrangement that is intended to satisfy the affirmative defense of Rule 10b5-1(c) for the sale of (i) up to 50,000 shares of the Company’s common stock related to the exercise of options, beginning on May 28, 2025 and continuing until May 31, 2026.</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On February 28, 2025, Jeffrey Dierks, the former Chief Commercial Officer of the Company, adopted a Rule 10b5-1 trading arrangement that is intended to satisfy the affirmative defense of Rule 10b5-1(c) for the sale of (i) up to 48,765 shares of the Company’s common stock related to the exercise of options, and (ii) an indeterminable number of shares of the Company’s common stock that will depend on the number of shares sold to cover tax withholding obligations in connection with the vesting of 45,000 restricted stock units previously granted, beginning on July 1, 2025 and continuing until December 1, 2025. This plan was terminated on March 31, 2025.</w:t>
      </w:r>
    </w:p>
    <w:p>
      <w:pPr>
        <w:spacing w:after="0" w:line="185"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On March 4, 2025, Sandip Kapadia, Chief Financial Officer and Chief Administrative Officer of the Company, adopted a Rule 10b5-1 trading arrangement that is intended to satisfy the affirmative defense of Rule 10b5-1(c) for the sale of (i) up to 25,000 shares of the Company’s common stock related to the exercise of options, and (ii) up to 25,000 shares of the Company’s common stock related to the vesting of restricted stock units previously granted, beginning on July 1, 2025 and continuing until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55"/>
        </w:trPr>
        <w:tc>
          <w:tcPr>
            <w:tcW w:w="980" w:type="dxa"/>
            <w:vAlign w:val="bottom"/>
          </w:tcPr>
          <w:p>
            <w:pPr>
              <w:ind w:left="380"/>
              <w:spacing w:after="0" w:line="155" w:lineRule="exact"/>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00" w:type="dxa"/>
            <w:vAlign w:val="bottom"/>
            <w:gridSpan w:val="23"/>
          </w:tcPr>
          <w:p>
            <w:pPr>
              <w:ind w:left="360"/>
              <w:spacing w:after="0" w:line="155" w:lineRule="exact"/>
              <w:rPr>
                <w:sz w:val="20"/>
                <w:szCs w:val="20"/>
                <w:color w:val="auto"/>
              </w:rPr>
            </w:pPr>
            <w:r>
              <w:rPr>
                <w:rFonts w:ascii="Arial" w:cs="Arial" w:eastAsia="Arial" w:hAnsi="Arial"/>
                <w:sz w:val="14"/>
                <w:szCs w:val="14"/>
                <w:b w:val="1"/>
                <w:bCs w:val="1"/>
                <w:color w:val="auto"/>
              </w:rPr>
              <w:t>Exhibit Description</w:t>
            </w:r>
          </w:p>
        </w:tc>
        <w:tc>
          <w:tcPr>
            <w:tcW w:w="560" w:type="dxa"/>
            <w:vAlign w:val="bottom"/>
          </w:tcPr>
          <w:p>
            <w:pPr>
              <w:jc w:val="center"/>
              <w:ind w:left="88"/>
              <w:spacing w:after="0" w:line="155" w:lineRule="exact"/>
              <w:rPr>
                <w:sz w:val="20"/>
                <w:szCs w:val="20"/>
                <w:color w:val="auto"/>
              </w:rPr>
            </w:pPr>
            <w:r>
              <w:rPr>
                <w:rFonts w:ascii="Arial" w:cs="Arial" w:eastAsia="Arial" w:hAnsi="Arial"/>
                <w:sz w:val="14"/>
                <w:szCs w:val="14"/>
                <w:b w:val="1"/>
                <w:bCs w:val="1"/>
                <w:color w:val="auto"/>
              </w:rPr>
              <w:t>Form</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Date</w:t>
            </w:r>
          </w:p>
        </w:tc>
        <w:tc>
          <w:tcPr>
            <w:tcW w:w="82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42"/>
        </w:trPr>
        <w:tc>
          <w:tcPr>
            <w:tcW w:w="980" w:type="dxa"/>
            <w:vAlign w:val="bottom"/>
            <w:tcBorders>
              <w:top w:val="single" w:sz="8" w:color="auto"/>
            </w:tcBorders>
          </w:tcPr>
          <w:p>
            <w:pPr>
              <w:ind w:left="300"/>
              <w:spacing w:after="0" w:line="142"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tcBorders>
              <w:top w:val="single" w:sz="8" w:color="auto"/>
            </w:tcBorders>
            <w:gridSpan w:val="24"/>
          </w:tcPr>
          <w:p>
            <w:pPr>
              <w:spacing w:after="0" w:line="142" w:lineRule="exact"/>
              <w:rPr>
                <w:rFonts w:ascii="Arial" w:cs="Arial" w:eastAsia="Arial" w:hAnsi="Arial"/>
                <w:sz w:val="14"/>
                <w:szCs w:val="14"/>
                <w:color w:val="0000EE"/>
              </w:rPr>
            </w:pPr>
            <w:hyperlink r:id="rId54">
              <w:r>
                <w:rPr>
                  <w:rFonts w:ascii="Arial" w:cs="Arial" w:eastAsia="Arial" w:hAnsi="Arial"/>
                  <w:sz w:val="14"/>
                  <w:szCs w:val="14"/>
                  <w:color w:val="0000EE"/>
                </w:rPr>
                <w:t>Agreement and Plan of Merger, dated August 14, 2023, by and among</w:t>
              </w:r>
            </w:hyperlink>
          </w:p>
        </w:tc>
        <w:tc>
          <w:tcPr>
            <w:tcW w:w="160" w:type="dxa"/>
            <w:vAlign w:val="bottom"/>
          </w:tcPr>
          <w:p>
            <w:pPr>
              <w:spacing w:after="0"/>
              <w:rPr>
                <w:sz w:val="12"/>
                <w:szCs w:val="12"/>
                <w:color w:val="auto"/>
              </w:rPr>
            </w:pPr>
          </w:p>
        </w:tc>
        <w:tc>
          <w:tcPr>
            <w:tcW w:w="560" w:type="dxa"/>
            <w:vAlign w:val="bottom"/>
            <w:tcBorders>
              <w:top w:val="single" w:sz="8" w:color="auto"/>
            </w:tcBorders>
          </w:tcPr>
          <w:p>
            <w:pPr>
              <w:jc w:val="center"/>
              <w:ind w:left="88"/>
              <w:spacing w:after="0" w:line="142" w:lineRule="exact"/>
              <w:rPr>
                <w:sz w:val="20"/>
                <w:szCs w:val="20"/>
                <w:color w:val="auto"/>
              </w:rPr>
            </w:pPr>
            <w:r>
              <w:rPr>
                <w:rFonts w:ascii="Arial" w:cs="Arial" w:eastAsia="Arial" w:hAnsi="Arial"/>
                <w:sz w:val="14"/>
                <w:szCs w:val="14"/>
                <w:color w:val="auto"/>
              </w:rPr>
              <w:t>8-K/A</w:t>
            </w:r>
          </w:p>
        </w:tc>
        <w:tc>
          <w:tcPr>
            <w:tcW w:w="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September 14,</w:t>
            </w:r>
          </w:p>
        </w:tc>
        <w:tc>
          <w:tcPr>
            <w:tcW w:w="820" w:type="dxa"/>
            <w:vAlign w:val="bottom"/>
          </w:tcPr>
          <w:p>
            <w:pPr>
              <w:jc w:val="center"/>
              <w:ind w:left="68"/>
              <w:spacing w:after="0" w:line="142"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20" w:type="dxa"/>
            <w:vAlign w:val="bottom"/>
            <w:tcBorders>
              <w:top w:val="single" w:sz="8" w:color="0000EE"/>
            </w:tcBorders>
            <w:gridSpan w:val="22"/>
          </w:tcPr>
          <w:p>
            <w:pPr>
              <w:spacing w:after="0" w:line="142" w:lineRule="exact"/>
              <w:rPr>
                <w:rFonts w:ascii="Arial" w:cs="Arial" w:eastAsia="Arial" w:hAnsi="Arial"/>
                <w:sz w:val="14"/>
                <w:szCs w:val="14"/>
                <w:color w:val="0000EE"/>
              </w:rPr>
            </w:pPr>
            <w:hyperlink r:id="rId54">
              <w:r>
                <w:rPr>
                  <w:rFonts w:ascii="Arial" w:cs="Arial" w:eastAsia="Arial" w:hAnsi="Arial"/>
                  <w:sz w:val="14"/>
                  <w:szCs w:val="14"/>
                  <w:color w:val="0000EE"/>
                </w:rPr>
                <w:t>Harmony Biosciences Holdings, Inc., Xylophone Acquisition Corp.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580" w:type="dxa"/>
            <w:vAlign w:val="bottom"/>
            <w:gridSpan w:val="3"/>
          </w:tcPr>
          <w:p>
            <w:pPr>
              <w:jc w:val="center"/>
              <w:ind w:left="228"/>
              <w:spacing w:after="0" w:line="142" w:lineRule="exact"/>
              <w:rPr>
                <w:sz w:val="20"/>
                <w:szCs w:val="20"/>
                <w:color w:val="auto"/>
              </w:rPr>
            </w:pPr>
            <w:r>
              <w:rPr>
                <w:rFonts w:ascii="Arial" w:cs="Arial" w:eastAsia="Arial" w:hAnsi="Arial"/>
                <w:sz w:val="14"/>
                <w:szCs w:val="14"/>
                <w:color w:val="auto"/>
              </w:rPr>
              <w:t>2023</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ind w:left="300"/>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2"/>
                <w:szCs w:val="12"/>
                <w:color w:val="auto"/>
              </w:rPr>
            </w:pPr>
          </w:p>
        </w:tc>
        <w:tc>
          <w:tcPr>
            <w:tcW w:w="4480" w:type="dxa"/>
            <w:vAlign w:val="bottom"/>
            <w:tcBorders>
              <w:top w:val="single" w:sz="8" w:color="0000EE"/>
            </w:tcBorders>
            <w:gridSpan w:val="20"/>
          </w:tcPr>
          <w:p>
            <w:pPr>
              <w:spacing w:after="0" w:line="142" w:lineRule="exact"/>
              <w:rPr>
                <w:rFonts w:ascii="Arial" w:cs="Arial" w:eastAsia="Arial" w:hAnsi="Arial"/>
                <w:sz w:val="14"/>
                <w:szCs w:val="14"/>
                <w:color w:val="0000EE"/>
              </w:rPr>
            </w:pPr>
            <w:hyperlink r:id="rId54">
              <w:r>
                <w:rPr>
                  <w:rFonts w:ascii="Arial" w:cs="Arial" w:eastAsia="Arial" w:hAnsi="Arial"/>
                  <w:sz w:val="14"/>
                  <w:szCs w:val="14"/>
                  <w:color w:val="0000EE"/>
                </w:rPr>
                <w:t>Zynerba Pharmaceuticals, Inc.</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August 21, 2020</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6"/>
          </w:tcPr>
          <w:p>
            <w:pPr>
              <w:spacing w:after="0" w:line="142" w:lineRule="exact"/>
              <w:rPr>
                <w:rFonts w:ascii="Arial" w:cs="Arial" w:eastAsia="Arial" w:hAnsi="Arial"/>
                <w:sz w:val="14"/>
                <w:szCs w:val="14"/>
                <w:color w:val="0000EE"/>
              </w:rPr>
            </w:pPr>
            <w:hyperlink r:id="rId55">
              <w:r>
                <w:rPr>
                  <w:rFonts w:ascii="Arial" w:cs="Arial" w:eastAsia="Arial" w:hAnsi="Arial"/>
                  <w:sz w:val="14"/>
                  <w:szCs w:val="14"/>
                  <w:color w:val="0000EE"/>
                </w:rPr>
                <w:t>Amended and Restated Certificate of Incorporation of Harmony</w:t>
              </w:r>
            </w:hyperlink>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ind w:left="300"/>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2"/>
                <w:szCs w:val="12"/>
                <w:color w:val="auto"/>
              </w:rPr>
            </w:pPr>
          </w:p>
        </w:tc>
        <w:tc>
          <w:tcPr>
            <w:tcW w:w="4020" w:type="dxa"/>
            <w:vAlign w:val="bottom"/>
            <w:tcBorders>
              <w:top w:val="single" w:sz="8" w:color="0000EE"/>
            </w:tcBorders>
            <w:gridSpan w:val="11"/>
          </w:tcPr>
          <w:p>
            <w:pPr>
              <w:spacing w:after="0" w:line="142" w:lineRule="exact"/>
              <w:rPr>
                <w:rFonts w:ascii="Arial" w:cs="Arial" w:eastAsia="Arial" w:hAnsi="Arial"/>
                <w:sz w:val="14"/>
                <w:szCs w:val="14"/>
                <w:color w:val="0000EE"/>
              </w:rPr>
            </w:pPr>
            <w:hyperlink r:id="rId55">
              <w:r>
                <w:rPr>
                  <w:rFonts w:ascii="Arial" w:cs="Arial" w:eastAsia="Arial" w:hAnsi="Arial"/>
                  <w:sz w:val="14"/>
                  <w:szCs w:val="14"/>
                  <w:color w:val="0000EE"/>
                </w:rPr>
                <w:t>Biosciences Holdings, Inc.</w:t>
              </w:r>
            </w:hyperlink>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August 21, 2020</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Borders>
              <w:top w:val="single" w:sz="8" w:color="0000EE"/>
              <w:bottom w:val="single" w:sz="8" w:color="0000EE"/>
            </w:tcBorders>
            <w:gridSpan w:val="4"/>
          </w:tcPr>
          <w:p>
            <w:pPr>
              <w:spacing w:after="0" w:line="142" w:lineRule="exact"/>
              <w:rPr>
                <w:rFonts w:ascii="Arial" w:cs="Arial" w:eastAsia="Arial" w:hAnsi="Arial"/>
                <w:sz w:val="14"/>
                <w:szCs w:val="14"/>
                <w:color w:val="0000EE"/>
              </w:rPr>
            </w:pPr>
            <w:hyperlink r:id="rId56">
              <w:r>
                <w:rPr>
                  <w:rFonts w:ascii="Arial" w:cs="Arial" w:eastAsia="Arial" w:hAnsi="Arial"/>
                  <w:sz w:val="14"/>
                  <w:szCs w:val="14"/>
                  <w:color w:val="0000EE"/>
                </w:rPr>
                <w:t>Amended and Restated</w:t>
              </w:r>
            </w:hyperlink>
          </w:p>
        </w:tc>
        <w:tc>
          <w:tcPr>
            <w:tcW w:w="380" w:type="dxa"/>
            <w:vAlign w:val="bottom"/>
            <w:tcBorders>
              <w:bottom w:val="single" w:sz="8" w:color="0000EE"/>
            </w:tcBorders>
            <w:gridSpan w:val="4"/>
          </w:tcPr>
          <w:p>
            <w:pPr>
              <w:spacing w:after="0" w:line="142" w:lineRule="exact"/>
              <w:rPr>
                <w:rFonts w:ascii="Arial" w:cs="Arial" w:eastAsia="Arial" w:hAnsi="Arial"/>
                <w:sz w:val="14"/>
                <w:szCs w:val="14"/>
                <w:color w:val="0000EE"/>
                <w:w w:val="74"/>
              </w:rPr>
            </w:pPr>
            <w:hyperlink r:id="rId56">
              <w:r>
                <w:rPr>
                  <w:rFonts w:ascii="Arial" w:cs="Arial" w:eastAsia="Arial" w:hAnsi="Arial"/>
                  <w:sz w:val="14"/>
                  <w:szCs w:val="14"/>
                  <w:color w:val="0000EE"/>
                  <w:w w:val="74"/>
                </w:rPr>
                <w:t>Bylaws.</w:t>
              </w:r>
            </w:hyperlink>
          </w:p>
        </w:tc>
        <w:tc>
          <w:tcPr>
            <w:tcW w:w="2740" w:type="dxa"/>
            <w:vAlign w:val="bottom"/>
            <w:gridSpan w:val="18"/>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ind w:left="220"/>
              <w:spacing w:after="0" w:line="142" w:lineRule="exact"/>
              <w:rPr>
                <w:sz w:val="20"/>
                <w:szCs w:val="20"/>
                <w:color w:val="auto"/>
              </w:rPr>
            </w:pPr>
            <w:r>
              <w:rPr>
                <w:rFonts w:ascii="Arial" w:cs="Arial" w:eastAsia="Arial" w:hAnsi="Arial"/>
                <w:sz w:val="14"/>
                <w:szCs w:val="14"/>
                <w:color w:val="auto"/>
              </w:rPr>
              <w:t>10.1</w:t>
            </w:r>
          </w:p>
        </w:tc>
        <w:tc>
          <w:tcPr>
            <w:tcW w:w="160" w:type="dxa"/>
            <w:vAlign w:val="bottom"/>
          </w:tcPr>
          <w:p>
            <w:pPr>
              <w:spacing w:after="0"/>
              <w:rPr>
                <w:sz w:val="12"/>
                <w:szCs w:val="12"/>
                <w:color w:val="auto"/>
              </w:rPr>
            </w:pPr>
          </w:p>
        </w:tc>
        <w:tc>
          <w:tcPr>
            <w:tcW w:w="4800" w:type="dxa"/>
            <w:vAlign w:val="bottom"/>
            <w:gridSpan w:val="26"/>
          </w:tcPr>
          <w:p>
            <w:pPr>
              <w:spacing w:after="0" w:line="142" w:lineRule="exact"/>
              <w:rPr>
                <w:rFonts w:ascii="Arial" w:cs="Arial" w:eastAsia="Arial" w:hAnsi="Arial"/>
                <w:sz w:val="14"/>
                <w:szCs w:val="14"/>
                <w:color w:val="0000EE"/>
              </w:rPr>
            </w:pPr>
            <w:hyperlink r:id="rId57">
              <w:r>
                <w:rPr>
                  <w:rFonts w:ascii="Arial" w:cs="Arial" w:eastAsia="Arial" w:hAnsi="Arial"/>
                  <w:sz w:val="14"/>
                  <w:szCs w:val="14"/>
                  <w:color w:val="0000EE"/>
                </w:rPr>
                <w:t>Amendment No. 1 to License and Commercialization Agreement, dated</w:t>
              </w:r>
            </w:hyperlink>
          </w:p>
        </w:tc>
        <w:tc>
          <w:tcPr>
            <w:tcW w:w="560" w:type="dxa"/>
            <w:vAlign w:val="bottom"/>
          </w:tcPr>
          <w:p>
            <w:pPr>
              <w:jc w:val="center"/>
              <w:ind w:left="88"/>
              <w:spacing w:after="0" w:line="142" w:lineRule="exact"/>
              <w:rPr>
                <w:sz w:val="20"/>
                <w:szCs w:val="20"/>
                <w:color w:val="auto"/>
              </w:rPr>
            </w:pPr>
            <w:r>
              <w:rPr>
                <w:rFonts w:ascii="Arial" w:cs="Arial" w:eastAsia="Arial" w:hAnsi="Arial"/>
                <w:sz w:val="14"/>
                <w:szCs w:val="14"/>
                <w:color w:val="auto"/>
              </w:rPr>
              <w:t>10-Q</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4"/>
                <w:szCs w:val="14"/>
                <w:color w:val="auto"/>
              </w:rPr>
              <w:t>April 30, 2024</w:t>
            </w:r>
          </w:p>
        </w:tc>
        <w:tc>
          <w:tcPr>
            <w:tcW w:w="820" w:type="dxa"/>
            <w:vAlign w:val="bottom"/>
          </w:tcPr>
          <w:p>
            <w:pPr>
              <w:jc w:val="center"/>
              <w:ind w:left="68"/>
              <w:spacing w:after="0" w:line="142"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60" w:type="dxa"/>
            <w:vAlign w:val="bottom"/>
            <w:tcBorders>
              <w:top w:val="single" w:sz="8" w:color="0000EE"/>
            </w:tcBorders>
            <w:gridSpan w:val="24"/>
          </w:tcPr>
          <w:p>
            <w:pPr>
              <w:spacing w:after="0" w:line="142" w:lineRule="exact"/>
              <w:rPr>
                <w:rFonts w:ascii="Arial" w:cs="Arial" w:eastAsia="Arial" w:hAnsi="Arial"/>
                <w:sz w:val="14"/>
                <w:szCs w:val="14"/>
                <w:color w:val="0000EE"/>
              </w:rPr>
            </w:pPr>
            <w:hyperlink r:id="rId57">
              <w:r>
                <w:rPr>
                  <w:rFonts w:ascii="Arial" w:cs="Arial" w:eastAsia="Arial" w:hAnsi="Arial"/>
                  <w:sz w:val="14"/>
                  <w:szCs w:val="14"/>
                  <w:color w:val="0000EE"/>
                </w:rPr>
                <w:t xml:space="preserve">July 31, 2022, by and between </w:t>
              </w:r>
              <w:r>
                <w:rPr>
                  <w:rFonts w:ascii="Arial" w:cs="Arial" w:eastAsia="Arial" w:hAnsi="Arial"/>
                  <w:sz w:val="14"/>
                  <w:szCs w:val="14"/>
                  <w:color w:val="0000EE"/>
                  <w:highlight w:val="white"/>
                </w:rPr>
                <w:t>Bioprojet Société Civile de Recherche</w:t>
              </w:r>
            </w:hyperlink>
          </w:p>
        </w:tc>
        <w:tc>
          <w:tcPr>
            <w:tcW w:w="24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ind w:left="220"/>
              <w:spacing w:after="0"/>
              <w:rPr>
                <w:sz w:val="20"/>
                <w:szCs w:val="20"/>
                <w:color w:val="auto"/>
              </w:rPr>
            </w:pPr>
            <w:r>
              <w:rPr>
                <w:rFonts w:ascii="Arial" w:cs="Arial" w:eastAsia="Arial" w:hAnsi="Arial"/>
                <w:sz w:val="14"/>
                <w:szCs w:val="14"/>
                <w:color w:val="auto"/>
              </w:rPr>
              <w:t>10.2</w:t>
            </w:r>
          </w:p>
        </w:tc>
        <w:tc>
          <w:tcPr>
            <w:tcW w:w="160" w:type="dxa"/>
            <w:vAlign w:val="bottom"/>
          </w:tcPr>
          <w:p>
            <w:pPr>
              <w:spacing w:after="0"/>
              <w:rPr>
                <w:sz w:val="12"/>
                <w:szCs w:val="12"/>
                <w:color w:val="auto"/>
              </w:rPr>
            </w:pPr>
          </w:p>
        </w:tc>
        <w:tc>
          <w:tcPr>
            <w:tcW w:w="2000" w:type="dxa"/>
            <w:vAlign w:val="bottom"/>
            <w:tcBorders>
              <w:top w:val="single" w:sz="8" w:color="0000EE"/>
              <w:bottom w:val="single" w:sz="8" w:color="0000EE"/>
            </w:tcBorders>
            <w:gridSpan w:val="6"/>
          </w:tcPr>
          <w:p>
            <w:pPr>
              <w:spacing w:after="0" w:line="142" w:lineRule="exact"/>
              <w:rPr>
                <w:rFonts w:ascii="Arial" w:cs="Arial" w:eastAsia="Arial" w:hAnsi="Arial"/>
                <w:sz w:val="14"/>
                <w:szCs w:val="14"/>
                <w:color w:val="0000EE"/>
                <w:w w:val="98"/>
              </w:rPr>
            </w:pPr>
            <w:hyperlink r:id="rId57">
              <w:r>
                <w:rPr>
                  <w:rFonts w:ascii="Arial" w:cs="Arial" w:eastAsia="Arial" w:hAnsi="Arial"/>
                  <w:sz w:val="14"/>
                  <w:szCs w:val="14"/>
                  <w:color w:val="0000EE"/>
                  <w:w w:val="98"/>
                </w:rPr>
                <w:t>and Harmony Biosciences, LLC.</w:t>
              </w:r>
            </w:hyperlink>
          </w:p>
        </w:tc>
        <w:tc>
          <w:tcPr>
            <w:tcW w:w="20" w:type="dxa"/>
            <w:vAlign w:val="bottom"/>
            <w:tcBorders>
              <w:bottom w:val="single" w:sz="8" w:color="0000EE"/>
            </w:tcBorders>
          </w:tcPr>
          <w:p>
            <w:pPr>
              <w:spacing w:after="0"/>
              <w:rPr>
                <w:sz w:val="12"/>
                <w:szCs w:val="12"/>
                <w:color w:val="auto"/>
              </w:rPr>
            </w:pPr>
          </w:p>
        </w:tc>
        <w:tc>
          <w:tcPr>
            <w:tcW w:w="40" w:type="dxa"/>
            <w:vAlign w:val="bottom"/>
            <w:tcBorders>
              <w:top w:val="single" w:sz="8" w:color="0000EE"/>
              <w:bottom w:val="single" w:sz="8" w:color="0000EE"/>
            </w:tcBorders>
          </w:tcPr>
          <w:p>
            <w:pPr>
              <w:spacing w:after="0"/>
              <w:rPr>
                <w:sz w:val="12"/>
                <w:szCs w:val="12"/>
                <w:color w:val="auto"/>
              </w:rPr>
            </w:pPr>
          </w:p>
        </w:tc>
        <w:tc>
          <w:tcPr>
            <w:tcW w:w="1420" w:type="dxa"/>
            <w:vAlign w:val="bottom"/>
            <w:tcBorders>
              <w:top w:val="single" w:sz="8" w:color="0000EE"/>
            </w:tcBorders>
          </w:tcPr>
          <w:p>
            <w:pPr>
              <w:spacing w:after="0"/>
              <w:rPr>
                <w:sz w:val="12"/>
                <w:szCs w:val="12"/>
                <w:color w:val="auto"/>
              </w:rPr>
            </w:pPr>
          </w:p>
        </w:tc>
        <w:tc>
          <w:tcPr>
            <w:tcW w:w="36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gridSpan w:val="2"/>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60" w:type="dxa"/>
            <w:vAlign w:val="bottom"/>
            <w:gridSpan w:val="3"/>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10-Q</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April 30, 2024</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6"/>
          </w:tcPr>
          <w:p>
            <w:pPr>
              <w:spacing w:after="0" w:line="142" w:lineRule="exact"/>
              <w:rPr>
                <w:rFonts w:ascii="Arial" w:cs="Arial" w:eastAsia="Arial" w:hAnsi="Arial"/>
                <w:sz w:val="14"/>
                <w:szCs w:val="14"/>
                <w:color w:val="0000EE"/>
              </w:rPr>
            </w:pPr>
            <w:hyperlink r:id="rId58">
              <w:r>
                <w:rPr>
                  <w:rFonts w:ascii="Arial" w:cs="Arial" w:eastAsia="Arial" w:hAnsi="Arial"/>
                  <w:sz w:val="14"/>
                  <w:szCs w:val="14"/>
                  <w:color w:val="0000EE"/>
                </w:rPr>
                <w:t>Amendment No. 2 to License and Commercialization Agreement, dated</w:t>
              </w:r>
            </w:hyperlink>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60" w:type="dxa"/>
            <w:vAlign w:val="bottom"/>
            <w:tcBorders>
              <w:top w:val="single" w:sz="8" w:color="0000EE"/>
            </w:tcBorders>
            <w:gridSpan w:val="24"/>
          </w:tcPr>
          <w:p>
            <w:pPr>
              <w:spacing w:after="0" w:line="142" w:lineRule="exact"/>
              <w:rPr>
                <w:rFonts w:ascii="Arial" w:cs="Arial" w:eastAsia="Arial" w:hAnsi="Arial"/>
                <w:sz w:val="14"/>
                <w:szCs w:val="14"/>
                <w:color w:val="0000EE"/>
              </w:rPr>
            </w:pPr>
            <w:hyperlink r:id="rId58">
              <w:r>
                <w:rPr>
                  <w:rFonts w:ascii="Arial" w:cs="Arial" w:eastAsia="Arial" w:hAnsi="Arial"/>
                  <w:sz w:val="14"/>
                  <w:szCs w:val="14"/>
                  <w:color w:val="0000EE"/>
                </w:rPr>
                <w:t xml:space="preserve">July 28, 2017, by and between </w:t>
              </w:r>
              <w:r>
                <w:rPr>
                  <w:rFonts w:ascii="Arial" w:cs="Arial" w:eastAsia="Arial" w:hAnsi="Arial"/>
                  <w:sz w:val="14"/>
                  <w:szCs w:val="14"/>
                  <w:color w:val="0000EE"/>
                  <w:highlight w:val="white"/>
                </w:rPr>
                <w:t>Bioprojet Société Civile de Recherche</w:t>
              </w:r>
            </w:hyperlink>
          </w:p>
        </w:tc>
        <w:tc>
          <w:tcPr>
            <w:tcW w:w="24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ind w:left="220"/>
              <w:spacing w:after="0"/>
              <w:rPr>
                <w:sz w:val="20"/>
                <w:szCs w:val="20"/>
                <w:color w:val="auto"/>
              </w:rPr>
            </w:pPr>
            <w:r>
              <w:rPr>
                <w:rFonts w:ascii="Arial" w:cs="Arial" w:eastAsia="Arial" w:hAnsi="Arial"/>
                <w:sz w:val="14"/>
                <w:szCs w:val="14"/>
                <w:color w:val="auto"/>
              </w:rPr>
              <w:t>10.3#</w:t>
            </w:r>
          </w:p>
        </w:tc>
        <w:tc>
          <w:tcPr>
            <w:tcW w:w="160" w:type="dxa"/>
            <w:vAlign w:val="bottom"/>
          </w:tcPr>
          <w:p>
            <w:pPr>
              <w:spacing w:after="0"/>
              <w:rPr>
                <w:sz w:val="12"/>
                <w:szCs w:val="12"/>
                <w:color w:val="auto"/>
              </w:rPr>
            </w:pPr>
          </w:p>
        </w:tc>
        <w:tc>
          <w:tcPr>
            <w:tcW w:w="2000" w:type="dxa"/>
            <w:vAlign w:val="bottom"/>
            <w:tcBorders>
              <w:top w:val="single" w:sz="8" w:color="0000EE"/>
              <w:bottom w:val="single" w:sz="8" w:color="0000EE"/>
            </w:tcBorders>
            <w:gridSpan w:val="6"/>
          </w:tcPr>
          <w:p>
            <w:pPr>
              <w:spacing w:after="0" w:line="142" w:lineRule="exact"/>
              <w:rPr>
                <w:rFonts w:ascii="Arial" w:cs="Arial" w:eastAsia="Arial" w:hAnsi="Arial"/>
                <w:sz w:val="14"/>
                <w:szCs w:val="14"/>
                <w:color w:val="0000EE"/>
                <w:w w:val="98"/>
              </w:rPr>
            </w:pPr>
            <w:hyperlink r:id="rId58">
              <w:r>
                <w:rPr>
                  <w:rFonts w:ascii="Arial" w:cs="Arial" w:eastAsia="Arial" w:hAnsi="Arial"/>
                  <w:sz w:val="14"/>
                  <w:szCs w:val="14"/>
                  <w:color w:val="0000EE"/>
                  <w:w w:val="98"/>
                </w:rPr>
                <w:t>and Harmony Biosciences, LLC.</w:t>
              </w:r>
            </w:hyperlink>
          </w:p>
        </w:tc>
        <w:tc>
          <w:tcPr>
            <w:tcW w:w="20" w:type="dxa"/>
            <w:vAlign w:val="bottom"/>
            <w:tcBorders>
              <w:bottom w:val="single" w:sz="8" w:color="0000EE"/>
            </w:tcBorders>
          </w:tcPr>
          <w:p>
            <w:pPr>
              <w:spacing w:after="0"/>
              <w:rPr>
                <w:sz w:val="12"/>
                <w:szCs w:val="12"/>
                <w:color w:val="auto"/>
              </w:rPr>
            </w:pPr>
          </w:p>
        </w:tc>
        <w:tc>
          <w:tcPr>
            <w:tcW w:w="40" w:type="dxa"/>
            <w:vAlign w:val="bottom"/>
            <w:tcBorders>
              <w:top w:val="single" w:sz="8" w:color="0000EE"/>
              <w:bottom w:val="single" w:sz="8" w:color="0000EE"/>
            </w:tcBorders>
          </w:tcPr>
          <w:p>
            <w:pPr>
              <w:spacing w:after="0"/>
              <w:rPr>
                <w:sz w:val="12"/>
                <w:szCs w:val="12"/>
                <w:color w:val="auto"/>
              </w:rPr>
            </w:pPr>
          </w:p>
        </w:tc>
        <w:tc>
          <w:tcPr>
            <w:tcW w:w="1420" w:type="dxa"/>
            <w:vAlign w:val="bottom"/>
            <w:tcBorders>
              <w:top w:val="single" w:sz="8" w:color="0000EE"/>
            </w:tcBorders>
          </w:tcPr>
          <w:p>
            <w:pPr>
              <w:spacing w:after="0"/>
              <w:rPr>
                <w:sz w:val="12"/>
                <w:szCs w:val="12"/>
                <w:color w:val="auto"/>
              </w:rPr>
            </w:pPr>
          </w:p>
        </w:tc>
        <w:tc>
          <w:tcPr>
            <w:tcW w:w="36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gridSpan w:val="2"/>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60" w:type="dxa"/>
            <w:vAlign w:val="bottom"/>
            <w:gridSpan w:val="3"/>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May 3, 2024</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6"/>
          </w:tcPr>
          <w:p>
            <w:pPr>
              <w:spacing w:after="0" w:line="142" w:lineRule="exact"/>
              <w:rPr>
                <w:rFonts w:ascii="Arial" w:cs="Arial" w:eastAsia="Arial" w:hAnsi="Arial"/>
                <w:sz w:val="14"/>
                <w:szCs w:val="14"/>
                <w:color w:val="0000EE"/>
              </w:rPr>
            </w:pPr>
            <w:hyperlink r:id="rId59">
              <w:r>
                <w:rPr>
                  <w:rFonts w:ascii="Arial" w:cs="Arial" w:eastAsia="Arial" w:hAnsi="Arial"/>
                  <w:sz w:val="14"/>
                  <w:szCs w:val="14"/>
                  <w:color w:val="0000EE"/>
                </w:rPr>
                <w:t>Employment Letter between Harmony Biosciences, LLC, and Kumar</w:t>
              </w:r>
            </w:hyperlink>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ind w:left="220"/>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12"/>
                <w:szCs w:val="12"/>
                <w:color w:val="auto"/>
              </w:rPr>
            </w:pPr>
          </w:p>
        </w:tc>
        <w:tc>
          <w:tcPr>
            <w:tcW w:w="4360" w:type="dxa"/>
            <w:vAlign w:val="bottom"/>
            <w:tcBorders>
              <w:top w:val="single" w:sz="8" w:color="0000EE"/>
            </w:tcBorders>
            <w:gridSpan w:val="15"/>
          </w:tcPr>
          <w:p>
            <w:pPr>
              <w:spacing w:after="0" w:line="142" w:lineRule="exact"/>
              <w:rPr>
                <w:rFonts w:ascii="Arial" w:cs="Arial" w:eastAsia="Arial" w:hAnsi="Arial"/>
                <w:sz w:val="14"/>
                <w:szCs w:val="14"/>
                <w:color w:val="0000EE"/>
              </w:rPr>
            </w:pPr>
            <w:hyperlink r:id="rId59">
              <w:r>
                <w:rPr>
                  <w:rFonts w:ascii="Arial" w:cs="Arial" w:eastAsia="Arial" w:hAnsi="Arial"/>
                  <w:sz w:val="14"/>
                  <w:szCs w:val="14"/>
                  <w:color w:val="0000EE"/>
                </w:rPr>
                <w:t>Budur, as amended.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60" w:type="dxa"/>
            <w:vAlign w:val="bottom"/>
            <w:gridSpan w:val="3"/>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March 24, 2025</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Borders>
              <w:top w:val="single" w:sz="8" w:color="0000EE"/>
              <w:bottom w:val="single" w:sz="8" w:color="0000EE"/>
            </w:tcBorders>
            <w:gridSpan w:val="3"/>
          </w:tcPr>
          <w:p>
            <w:pPr>
              <w:spacing w:after="0" w:line="142" w:lineRule="exact"/>
              <w:rPr>
                <w:rFonts w:ascii="Arial" w:cs="Arial" w:eastAsia="Arial" w:hAnsi="Arial"/>
                <w:sz w:val="14"/>
                <w:szCs w:val="14"/>
                <w:color w:val="0000EE"/>
                <w:w w:val="91"/>
              </w:rPr>
            </w:pPr>
            <w:hyperlink r:id="rId60">
              <w:r>
                <w:rPr>
                  <w:rFonts w:ascii="Arial" w:cs="Arial" w:eastAsia="Arial" w:hAnsi="Arial"/>
                  <w:sz w:val="14"/>
                  <w:szCs w:val="14"/>
                  <w:color w:val="0000EE"/>
                  <w:w w:val="91"/>
                </w:rPr>
                <w:t>Separation Agreement</w:t>
              </w:r>
            </w:hyperlink>
          </w:p>
        </w:tc>
        <w:tc>
          <w:tcPr>
            <w:tcW w:w="2780" w:type="dxa"/>
            <w:vAlign w:val="bottom"/>
            <w:tcBorders>
              <w:bottom w:val="single" w:sz="8" w:color="0000EE"/>
            </w:tcBorders>
            <w:gridSpan w:val="9"/>
          </w:tcPr>
          <w:p>
            <w:pPr>
              <w:ind w:left="180"/>
              <w:spacing w:after="0" w:line="142" w:lineRule="exact"/>
              <w:rPr>
                <w:rFonts w:ascii="Arial" w:cs="Arial" w:eastAsia="Arial" w:hAnsi="Arial"/>
                <w:sz w:val="14"/>
                <w:szCs w:val="14"/>
                <w:color w:val="0000EE"/>
              </w:rPr>
            </w:pPr>
            <w:hyperlink r:id="rId60">
              <w:r>
                <w:rPr>
                  <w:rFonts w:ascii="Arial" w:cs="Arial" w:eastAsia="Arial" w:hAnsi="Arial"/>
                  <w:sz w:val="14"/>
                  <w:szCs w:val="14"/>
                  <w:color w:val="0000EE"/>
                </w:rPr>
                <w:t>by and between Jeffrey Dierks, Harmony</w:t>
              </w:r>
            </w:hyperlink>
          </w:p>
        </w:tc>
        <w:tc>
          <w:tcPr>
            <w:tcW w:w="720" w:type="dxa"/>
            <w:vAlign w:val="bottom"/>
            <w:gridSpan w:val="14"/>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6"/>
          </w:tcPr>
          <w:p>
            <w:pPr>
              <w:spacing w:after="0" w:line="142" w:lineRule="exact"/>
              <w:rPr>
                <w:rFonts w:ascii="Arial" w:cs="Arial" w:eastAsia="Arial" w:hAnsi="Arial"/>
                <w:sz w:val="14"/>
                <w:szCs w:val="14"/>
                <w:color w:val="0000EE"/>
              </w:rPr>
            </w:pPr>
            <w:hyperlink r:id="rId60">
              <w:r>
                <w:rPr>
                  <w:rFonts w:ascii="Arial" w:cs="Arial" w:eastAsia="Arial" w:hAnsi="Arial"/>
                  <w:sz w:val="14"/>
                  <w:szCs w:val="14"/>
                  <w:color w:val="0000EE"/>
                </w:rPr>
                <w:t>Biosciences Holdings, Inc., Harmony Biosciences, LLC, and Harmony</w:t>
              </w:r>
            </w:hyperlink>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ind w:left="220"/>
              <w:spacing w:after="0"/>
              <w:rPr>
                <w:sz w:val="20"/>
                <w:szCs w:val="20"/>
                <w:color w:val="auto"/>
              </w:rPr>
            </w:pPr>
            <w:r>
              <w:rPr>
                <w:rFonts w:ascii="Arial" w:cs="Arial" w:eastAsia="Arial" w:hAnsi="Arial"/>
                <w:sz w:val="14"/>
                <w:szCs w:val="14"/>
                <w:color w:val="auto"/>
              </w:rPr>
              <w:t>31.1*</w:t>
            </w:r>
          </w:p>
        </w:tc>
        <w:tc>
          <w:tcPr>
            <w:tcW w:w="160" w:type="dxa"/>
            <w:vAlign w:val="bottom"/>
          </w:tcPr>
          <w:p>
            <w:pPr>
              <w:spacing w:after="0"/>
              <w:rPr>
                <w:sz w:val="12"/>
                <w:szCs w:val="12"/>
                <w:color w:val="auto"/>
              </w:rPr>
            </w:pPr>
          </w:p>
        </w:tc>
        <w:tc>
          <w:tcPr>
            <w:tcW w:w="4440" w:type="dxa"/>
            <w:vAlign w:val="bottom"/>
            <w:tcBorders>
              <w:top w:val="single" w:sz="8" w:color="0000EE"/>
            </w:tcBorders>
            <w:gridSpan w:val="19"/>
          </w:tcPr>
          <w:p>
            <w:pPr>
              <w:spacing w:after="0" w:line="142" w:lineRule="exact"/>
              <w:rPr>
                <w:rFonts w:ascii="Arial" w:cs="Arial" w:eastAsia="Arial" w:hAnsi="Arial"/>
                <w:sz w:val="14"/>
                <w:szCs w:val="14"/>
                <w:color w:val="0000EE"/>
              </w:rPr>
            </w:pPr>
            <w:hyperlink r:id="rId60">
              <w:r>
                <w:rPr>
                  <w:rFonts w:ascii="Arial" w:cs="Arial" w:eastAsia="Arial" w:hAnsi="Arial"/>
                  <w:sz w:val="14"/>
                  <w:szCs w:val="14"/>
                  <w:color w:val="0000EE"/>
                </w:rPr>
                <w:t>Biosciences Management, Inc., dated March 20, 2025.</w:t>
              </w:r>
            </w:hyperlink>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60" w:type="dxa"/>
            <w:vAlign w:val="bottom"/>
            <w:gridSpan w:val="3"/>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300" w:type="dxa"/>
            <w:vAlign w:val="bottom"/>
            <w:gridSpan w:val="7"/>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540" w:type="dxa"/>
            <w:vAlign w:val="bottom"/>
            <w:tcBorders>
              <w:bottom w:val="single" w:sz="8" w:color="0000EE"/>
            </w:tcBorders>
            <w:gridSpan w:val="23"/>
          </w:tcPr>
          <w:p>
            <w:pPr>
              <w:spacing w:after="0" w:line="142" w:lineRule="exact"/>
              <w:rPr>
                <w:sz w:val="20"/>
                <w:szCs w:val="20"/>
                <w:color w:val="auto"/>
              </w:rPr>
            </w:pPr>
            <w:r>
              <w:rPr>
                <w:rFonts w:ascii="Arial" w:cs="Arial" w:eastAsia="Arial" w:hAnsi="Arial"/>
                <w:sz w:val="14"/>
                <w:szCs w:val="14"/>
                <w:color w:val="0000EE"/>
              </w:rPr>
              <w:t>Certification of Chief Executive Officer pursuant to Rules 13a-14(a) and</w:t>
            </w:r>
          </w:p>
        </w:tc>
        <w:tc>
          <w:tcPr>
            <w:tcW w:w="260" w:type="dxa"/>
            <w:vAlign w:val="bottom"/>
            <w:gridSpan w:val="3"/>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6"/>
          </w:tcPr>
          <w:p>
            <w:pPr>
              <w:spacing w:after="0" w:line="142" w:lineRule="exact"/>
              <w:rPr>
                <w:sz w:val="20"/>
                <w:szCs w:val="20"/>
                <w:color w:val="auto"/>
              </w:rPr>
            </w:pPr>
            <w:r>
              <w:rPr>
                <w:rFonts w:ascii="Arial" w:cs="Arial" w:eastAsia="Arial" w:hAnsi="Arial"/>
                <w:sz w:val="14"/>
                <w:szCs w:val="14"/>
                <w:color w:val="0000EE"/>
              </w:rPr>
              <w:t>15d-14(a) of the Securities Exchange Act of 1934, as amended, as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60" w:type="dxa"/>
            <w:vAlign w:val="bottom"/>
            <w:tcBorders>
              <w:right w:val="single" w:sz="8" w:color="0000EE"/>
            </w:tcBorders>
            <w:gridSpan w:val="8"/>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restart"/>
          </w:tcPr>
          <w:p>
            <w:pPr>
              <w:ind w:left="220"/>
              <w:spacing w:after="0"/>
              <w:rPr>
                <w:sz w:val="20"/>
                <w:szCs w:val="20"/>
                <w:color w:val="auto"/>
              </w:rPr>
            </w:pPr>
            <w:r>
              <w:rPr>
                <w:rFonts w:ascii="Arial" w:cs="Arial" w:eastAsia="Arial" w:hAnsi="Arial"/>
                <w:sz w:val="14"/>
                <w:szCs w:val="14"/>
                <w:color w:val="auto"/>
              </w:rPr>
              <w:t>31.2*</w:t>
            </w:r>
          </w:p>
        </w:tc>
        <w:tc>
          <w:tcPr>
            <w:tcW w:w="160" w:type="dxa"/>
            <w:vAlign w:val="bottom"/>
          </w:tcPr>
          <w:p>
            <w:pPr>
              <w:spacing w:after="0"/>
              <w:rPr>
                <w:sz w:val="12"/>
                <w:szCs w:val="12"/>
                <w:color w:val="auto"/>
              </w:rPr>
            </w:pPr>
          </w:p>
        </w:tc>
        <w:tc>
          <w:tcPr>
            <w:tcW w:w="4400" w:type="dxa"/>
            <w:vAlign w:val="bottom"/>
            <w:tcBorders>
              <w:bottom w:val="single" w:sz="8" w:color="0000EE"/>
            </w:tcBorders>
            <w:gridSpan w:val="17"/>
          </w:tcPr>
          <w:p>
            <w:pPr>
              <w:spacing w:after="0" w:line="142" w:lineRule="exact"/>
              <w:rPr>
                <w:sz w:val="20"/>
                <w:szCs w:val="20"/>
                <w:color w:val="auto"/>
              </w:rPr>
            </w:pPr>
            <w:r>
              <w:rPr>
                <w:rFonts w:ascii="Arial" w:cs="Arial" w:eastAsia="Arial" w:hAnsi="Arial"/>
                <w:sz w:val="14"/>
                <w:szCs w:val="14"/>
                <w:color w:val="0000EE"/>
              </w:rPr>
              <w:t>adopted pursuant to Section 302 of the Sarbanes-Oxley Act of 2002.</w:t>
            </w:r>
          </w:p>
        </w:tc>
        <w:tc>
          <w:tcPr>
            <w:tcW w:w="400" w:type="dxa"/>
            <w:vAlign w:val="bottom"/>
            <w:gridSpan w:val="9"/>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6"/>
          </w:tcPr>
          <w:p>
            <w:pPr>
              <w:spacing w:after="0" w:line="142" w:lineRule="exact"/>
              <w:rPr>
                <w:sz w:val="20"/>
                <w:szCs w:val="20"/>
                <w:color w:val="auto"/>
              </w:rPr>
            </w:pPr>
            <w:r>
              <w:rPr>
                <w:rFonts w:ascii="Arial" w:cs="Arial" w:eastAsia="Arial" w:hAnsi="Arial"/>
                <w:sz w:val="14"/>
                <w:szCs w:val="14"/>
                <w:color w:val="0000EE"/>
              </w:rPr>
              <w:t>Certification of Chief Financial Officer pursuant to Rules 13a-14(a) and</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00" w:type="dxa"/>
            <w:vAlign w:val="bottom"/>
            <w:tcBorders>
              <w:top w:val="single" w:sz="8" w:color="0000EE"/>
            </w:tcBorders>
            <w:gridSpan w:val="21"/>
          </w:tcPr>
          <w:p>
            <w:pPr>
              <w:spacing w:after="0" w:line="142" w:lineRule="exact"/>
              <w:rPr>
                <w:sz w:val="20"/>
                <w:szCs w:val="20"/>
                <w:color w:val="auto"/>
              </w:rPr>
            </w:pPr>
            <w:r>
              <w:rPr>
                <w:rFonts w:ascii="Arial" w:cs="Arial" w:eastAsia="Arial" w:hAnsi="Arial"/>
                <w:sz w:val="14"/>
                <w:szCs w:val="14"/>
                <w:color w:val="0000EE"/>
              </w:rPr>
              <w:t>15d-14(a) of the Securities Exchange Act of 1934, as amended, as</w:t>
            </w:r>
          </w:p>
        </w:tc>
        <w:tc>
          <w:tcPr>
            <w:tcW w:w="300" w:type="dxa"/>
            <w:vAlign w:val="bottom"/>
            <w:gridSpan w:val="5"/>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60" w:type="dxa"/>
            <w:vAlign w:val="bottom"/>
            <w:tcBorders>
              <w:right w:val="single" w:sz="8" w:color="0000EE"/>
            </w:tcBorders>
            <w:gridSpan w:val="8"/>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restart"/>
          </w:tcPr>
          <w:p>
            <w:pPr>
              <w:ind w:left="220"/>
              <w:spacing w:after="0"/>
              <w:rPr>
                <w:sz w:val="20"/>
                <w:szCs w:val="20"/>
                <w:color w:val="auto"/>
              </w:rPr>
            </w:pPr>
            <w:r>
              <w:rPr>
                <w:rFonts w:ascii="Arial" w:cs="Arial" w:eastAsia="Arial" w:hAnsi="Arial"/>
                <w:sz w:val="14"/>
                <w:szCs w:val="14"/>
                <w:color w:val="auto"/>
              </w:rPr>
              <w:t>32.1**</w:t>
            </w:r>
          </w:p>
        </w:tc>
        <w:tc>
          <w:tcPr>
            <w:tcW w:w="160" w:type="dxa"/>
            <w:vAlign w:val="bottom"/>
          </w:tcPr>
          <w:p>
            <w:pPr>
              <w:spacing w:after="0"/>
              <w:rPr>
                <w:sz w:val="12"/>
                <w:szCs w:val="12"/>
                <w:color w:val="auto"/>
              </w:rPr>
            </w:pPr>
          </w:p>
        </w:tc>
        <w:tc>
          <w:tcPr>
            <w:tcW w:w="4800" w:type="dxa"/>
            <w:vAlign w:val="bottom"/>
            <w:gridSpan w:val="26"/>
          </w:tcPr>
          <w:p>
            <w:pPr>
              <w:spacing w:after="0" w:line="142" w:lineRule="exact"/>
              <w:rPr>
                <w:sz w:val="20"/>
                <w:szCs w:val="20"/>
                <w:color w:val="auto"/>
              </w:rPr>
            </w:pPr>
            <w:r>
              <w:rPr>
                <w:rFonts w:ascii="Arial" w:cs="Arial" w:eastAsia="Arial" w:hAnsi="Arial"/>
                <w:sz w:val="14"/>
                <w:szCs w:val="14"/>
                <w:color w:val="0000EE"/>
              </w:rPr>
              <w:t>adopted pursuant to Section 302 of the Sarbanes-Oxley Act of 2002.</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380" w:type="dxa"/>
            <w:vAlign w:val="bottom"/>
            <w:tcBorders>
              <w:top w:val="single" w:sz="8" w:color="0000EE"/>
            </w:tcBorders>
            <w:gridSpan w:val="16"/>
          </w:tcPr>
          <w:p>
            <w:pPr>
              <w:spacing w:after="0" w:line="142" w:lineRule="exact"/>
              <w:rPr>
                <w:sz w:val="20"/>
                <w:szCs w:val="20"/>
                <w:color w:val="auto"/>
              </w:rPr>
            </w:pPr>
            <w:r>
              <w:rPr>
                <w:rFonts w:ascii="Arial" w:cs="Arial" w:eastAsia="Arial" w:hAnsi="Arial"/>
                <w:sz w:val="14"/>
                <w:szCs w:val="14"/>
                <w:color w:val="0000EE"/>
              </w:rPr>
              <w:t>Certification of Chief Executive Officer pursuant to 18 U.S.C.</w:t>
            </w:r>
          </w:p>
        </w:tc>
        <w:tc>
          <w:tcPr>
            <w:tcW w:w="420" w:type="dxa"/>
            <w:vAlign w:val="bottom"/>
            <w:gridSpan w:val="10"/>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60" w:type="dxa"/>
            <w:vAlign w:val="bottom"/>
            <w:tcBorders>
              <w:right w:val="single" w:sz="8" w:color="0000EE"/>
            </w:tcBorders>
            <w:gridSpan w:val="8"/>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2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6"/>
          </w:tcPr>
          <w:p>
            <w:pPr>
              <w:spacing w:after="0" w:line="142" w:lineRule="exact"/>
              <w:rPr>
                <w:sz w:val="20"/>
                <w:szCs w:val="20"/>
                <w:color w:val="auto"/>
              </w:rPr>
            </w:pPr>
            <w:r>
              <w:rPr>
                <w:rFonts w:ascii="Arial" w:cs="Arial" w:eastAsia="Arial" w:hAnsi="Arial"/>
                <w:sz w:val="14"/>
                <w:szCs w:val="14"/>
                <w:color w:val="0000EE"/>
              </w:rPr>
              <w:t>Section 1350, as adopted pursuant to Section 906 of the Sarbanes-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ind w:left="220"/>
              <w:spacing w:after="0"/>
              <w:rPr>
                <w:sz w:val="20"/>
                <w:szCs w:val="20"/>
                <w:color w:val="auto"/>
              </w:rPr>
            </w:pPr>
            <w:r>
              <w:rPr>
                <w:rFonts w:ascii="Arial" w:cs="Arial" w:eastAsia="Arial" w:hAnsi="Arial"/>
                <w:sz w:val="14"/>
                <w:szCs w:val="14"/>
                <w:color w:val="auto"/>
              </w:rPr>
              <w:t>32.2**</w:t>
            </w:r>
          </w:p>
        </w:tc>
        <w:tc>
          <w:tcPr>
            <w:tcW w:w="160" w:type="dxa"/>
            <w:vAlign w:val="bottom"/>
          </w:tcPr>
          <w:p>
            <w:pPr>
              <w:spacing w:after="0"/>
              <w:rPr>
                <w:sz w:val="12"/>
                <w:szCs w:val="12"/>
                <w:color w:val="auto"/>
              </w:rPr>
            </w:pPr>
          </w:p>
        </w:tc>
        <w:tc>
          <w:tcPr>
            <w:tcW w:w="1180" w:type="dxa"/>
            <w:vAlign w:val="bottom"/>
            <w:tcBorders>
              <w:top w:val="single" w:sz="8" w:color="0000EE"/>
              <w:bottom w:val="single" w:sz="8" w:color="0000EE"/>
            </w:tcBorders>
            <w:gridSpan w:val="2"/>
          </w:tcPr>
          <w:p>
            <w:pPr>
              <w:spacing w:after="0" w:line="142" w:lineRule="exact"/>
              <w:rPr>
                <w:sz w:val="20"/>
                <w:szCs w:val="20"/>
                <w:color w:val="auto"/>
              </w:rPr>
            </w:pPr>
            <w:r>
              <w:rPr>
                <w:rFonts w:ascii="Arial" w:cs="Arial" w:eastAsia="Arial" w:hAnsi="Arial"/>
                <w:sz w:val="14"/>
                <w:szCs w:val="14"/>
                <w:color w:val="0000EE"/>
              </w:rPr>
              <w:t>Oxley Act of 2002.</w:t>
            </w:r>
          </w:p>
        </w:tc>
        <w:tc>
          <w:tcPr>
            <w:tcW w:w="3100" w:type="dxa"/>
            <w:vAlign w:val="bottom"/>
            <w:tcBorders>
              <w:top w:val="single" w:sz="8" w:color="0000EE"/>
            </w:tcBorders>
            <w:gridSpan w:val="12"/>
          </w:tcPr>
          <w:p>
            <w:pPr>
              <w:spacing w:after="0"/>
              <w:rPr>
                <w:sz w:val="12"/>
                <w:szCs w:val="12"/>
                <w:color w:val="auto"/>
              </w:rPr>
            </w:pPr>
          </w:p>
        </w:tc>
        <w:tc>
          <w:tcPr>
            <w:tcW w:w="520" w:type="dxa"/>
            <w:vAlign w:val="bottom"/>
            <w:gridSpan w:val="12"/>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840" w:type="dxa"/>
            <w:vAlign w:val="bottom"/>
            <w:tcBorders>
              <w:bottom w:val="single" w:sz="8" w:color="0000EE"/>
            </w:tcBorders>
            <w:gridSpan w:val="10"/>
          </w:tcPr>
          <w:p>
            <w:pPr>
              <w:spacing w:after="0" w:line="142" w:lineRule="exact"/>
              <w:rPr>
                <w:sz w:val="20"/>
                <w:szCs w:val="20"/>
                <w:color w:val="auto"/>
              </w:rPr>
            </w:pPr>
            <w:r>
              <w:rPr>
                <w:rFonts w:ascii="Arial" w:cs="Arial" w:eastAsia="Arial" w:hAnsi="Arial"/>
                <w:sz w:val="14"/>
                <w:szCs w:val="14"/>
                <w:color w:val="0000EE"/>
              </w:rPr>
              <w:t>Certification of Chief Financial Officer pursuant to 18 U.S.C.</w:t>
            </w:r>
          </w:p>
        </w:tc>
        <w:tc>
          <w:tcPr>
            <w:tcW w:w="960" w:type="dxa"/>
            <w:vAlign w:val="bottom"/>
            <w:gridSpan w:val="16"/>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6"/>
          </w:tcPr>
          <w:p>
            <w:pPr>
              <w:spacing w:after="0" w:line="142" w:lineRule="exact"/>
              <w:rPr>
                <w:sz w:val="20"/>
                <w:szCs w:val="20"/>
                <w:color w:val="auto"/>
              </w:rPr>
            </w:pPr>
            <w:r>
              <w:rPr>
                <w:rFonts w:ascii="Arial" w:cs="Arial" w:eastAsia="Arial" w:hAnsi="Arial"/>
                <w:sz w:val="14"/>
                <w:szCs w:val="14"/>
                <w:color w:val="0000EE"/>
              </w:rPr>
              <w:t>Section 1350, as adopted pursuant to Section 906 of the Sarbanes-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ind w:left="140"/>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12"/>
                <w:szCs w:val="12"/>
                <w:color w:val="auto"/>
              </w:rPr>
            </w:pPr>
          </w:p>
        </w:tc>
        <w:tc>
          <w:tcPr>
            <w:tcW w:w="1180" w:type="dxa"/>
            <w:vAlign w:val="bottom"/>
            <w:tcBorders>
              <w:top w:val="single" w:sz="8" w:color="0000EE"/>
              <w:bottom w:val="single" w:sz="8" w:color="0000EE"/>
            </w:tcBorders>
            <w:gridSpan w:val="2"/>
          </w:tcPr>
          <w:p>
            <w:pPr>
              <w:spacing w:after="0" w:line="142" w:lineRule="exact"/>
              <w:rPr>
                <w:sz w:val="20"/>
                <w:szCs w:val="20"/>
                <w:color w:val="auto"/>
              </w:rPr>
            </w:pPr>
            <w:r>
              <w:rPr>
                <w:rFonts w:ascii="Arial" w:cs="Arial" w:eastAsia="Arial" w:hAnsi="Arial"/>
                <w:sz w:val="14"/>
                <w:szCs w:val="14"/>
                <w:color w:val="0000EE"/>
              </w:rPr>
              <w:t>Oxley Act of 2002.</w:t>
            </w:r>
          </w:p>
        </w:tc>
        <w:tc>
          <w:tcPr>
            <w:tcW w:w="3100" w:type="dxa"/>
            <w:vAlign w:val="bottom"/>
            <w:tcBorders>
              <w:top w:val="single" w:sz="8" w:color="0000EE"/>
            </w:tcBorders>
            <w:gridSpan w:val="12"/>
          </w:tcPr>
          <w:p>
            <w:pPr>
              <w:spacing w:after="0"/>
              <w:rPr>
                <w:sz w:val="12"/>
                <w:szCs w:val="12"/>
                <w:color w:val="auto"/>
              </w:rPr>
            </w:pPr>
          </w:p>
        </w:tc>
        <w:tc>
          <w:tcPr>
            <w:tcW w:w="520" w:type="dxa"/>
            <w:vAlign w:val="bottom"/>
            <w:gridSpan w:val="12"/>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6"/>
          </w:tcPr>
          <w:p>
            <w:pPr>
              <w:spacing w:after="0" w:line="147" w:lineRule="exact"/>
              <w:rPr>
                <w:sz w:val="20"/>
                <w:szCs w:val="20"/>
                <w:color w:val="auto"/>
              </w:rPr>
            </w:pPr>
            <w:r>
              <w:rPr>
                <w:rFonts w:ascii="Arial" w:cs="Arial" w:eastAsia="Arial" w:hAnsi="Arial"/>
                <w:sz w:val="14"/>
                <w:szCs w:val="14"/>
                <w:color w:val="auto"/>
              </w:rPr>
              <w:t>The following financial statements from the Company</w:t>
            </w:r>
            <w:r>
              <w:rPr>
                <w:rFonts w:ascii="Times New Roman" w:cs="Times New Roman" w:eastAsia="Times New Roman" w:hAnsi="Times New Roman"/>
                <w:sz w:val="14"/>
                <w:szCs w:val="14"/>
                <w:color w:val="auto"/>
              </w:rPr>
              <w:t>’</w:t>
            </w:r>
            <w:r>
              <w:rPr>
                <w:rFonts w:ascii="Arial" w:cs="Arial" w:eastAsia="Arial" w:hAnsi="Arial"/>
                <w:sz w:val="14"/>
                <w:szCs w:val="14"/>
                <w:color w:val="auto"/>
              </w:rPr>
              <w:t>s Quarterly Report</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26"/>
          </w:tcPr>
          <w:p>
            <w:pPr>
              <w:spacing w:after="0"/>
              <w:rPr>
                <w:sz w:val="20"/>
                <w:szCs w:val="20"/>
                <w:color w:val="auto"/>
              </w:rPr>
            </w:pPr>
            <w:r>
              <w:rPr>
                <w:rFonts w:ascii="Arial" w:cs="Arial" w:eastAsia="Arial" w:hAnsi="Arial"/>
                <w:sz w:val="14"/>
                <w:szCs w:val="14"/>
                <w:color w:val="auto"/>
              </w:rPr>
              <w:t>on Form 10-Q for the fiscal quarter ended March 31, 2025, formatted in</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26"/>
          </w:tcPr>
          <w:p>
            <w:pPr>
              <w:spacing w:after="0"/>
              <w:rPr>
                <w:sz w:val="20"/>
                <w:szCs w:val="20"/>
                <w:color w:val="auto"/>
              </w:rPr>
            </w:pPr>
            <w:r>
              <w:rPr>
                <w:rFonts w:ascii="Arial" w:cs="Arial" w:eastAsia="Arial" w:hAnsi="Arial"/>
                <w:sz w:val="14"/>
                <w:szCs w:val="14"/>
                <w:color w:val="auto"/>
              </w:rPr>
              <w:t>Inline XBRL: (i) Balance Sheets, (ii) Statements of Operations,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26"/>
          </w:tcPr>
          <w:p>
            <w:pPr>
              <w:spacing w:after="0"/>
              <w:rPr>
                <w:sz w:val="20"/>
                <w:szCs w:val="20"/>
                <w:color w:val="auto"/>
              </w:rPr>
            </w:pPr>
            <w:r>
              <w:rPr>
                <w:rFonts w:ascii="Arial" w:cs="Arial" w:eastAsia="Arial" w:hAnsi="Arial"/>
                <w:sz w:val="14"/>
                <w:szCs w:val="14"/>
                <w:color w:val="auto"/>
              </w:rPr>
              <w:t>(iii) Statements of Stockholders</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Equity and (vi) Notes to Financial</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26"/>
          </w:tcPr>
          <w:p>
            <w:pPr>
              <w:spacing w:after="0"/>
              <w:rPr>
                <w:sz w:val="20"/>
                <w:szCs w:val="20"/>
                <w:color w:val="auto"/>
              </w:rPr>
            </w:pPr>
            <w:r>
              <w:rPr>
                <w:rFonts w:ascii="Arial" w:cs="Arial" w:eastAsia="Arial" w:hAnsi="Arial"/>
                <w:sz w:val="14"/>
                <w:szCs w:val="14"/>
                <w:color w:val="auto"/>
              </w:rPr>
              <w:t>Statements, tagged as blocks of text and including detailed tags.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ind w:left="140"/>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14"/>
                <w:szCs w:val="14"/>
                <w:color w:val="auto"/>
              </w:rPr>
            </w:pPr>
          </w:p>
        </w:tc>
        <w:tc>
          <w:tcPr>
            <w:tcW w:w="4800" w:type="dxa"/>
            <w:vAlign w:val="bottom"/>
            <w:gridSpan w:val="26"/>
          </w:tcPr>
          <w:p>
            <w:pPr>
              <w:spacing w:after="0"/>
              <w:rPr>
                <w:sz w:val="20"/>
                <w:szCs w:val="20"/>
                <w:color w:val="auto"/>
              </w:rPr>
            </w:pPr>
            <w:r>
              <w:rPr>
                <w:rFonts w:ascii="Arial" w:cs="Arial" w:eastAsia="Arial" w:hAnsi="Arial"/>
                <w:sz w:val="14"/>
                <w:szCs w:val="14"/>
                <w:color w:val="auto"/>
              </w:rPr>
              <w:t>Cover Page Interactive Date File (formatted as Inline XBRL and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0" w:type="dxa"/>
            <w:vAlign w:val="bottom"/>
            <w:gridSpan w:val="26"/>
          </w:tcPr>
          <w:p>
            <w:pPr>
              <w:spacing w:after="0"/>
              <w:rPr>
                <w:sz w:val="20"/>
                <w:szCs w:val="20"/>
                <w:color w:val="auto"/>
              </w:rPr>
            </w:pPr>
            <w:r>
              <w:rPr>
                <w:rFonts w:ascii="Arial" w:cs="Arial" w:eastAsia="Arial" w:hAnsi="Arial"/>
                <w:sz w:val="14"/>
                <w:szCs w:val="14"/>
                <w:color w:val="auto"/>
              </w:rPr>
              <w:t>contained in Exhibit 101)</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151130</wp:posOffset>
            </wp:positionV>
            <wp:extent cx="14141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89" w:lineRule="exact"/>
        <w:rPr>
          <w:sz w:val="20"/>
          <w:szCs w:val="20"/>
          <w:color w:val="auto"/>
        </w:rPr>
      </w:pPr>
    </w:p>
    <w:p>
      <w:pPr>
        <w:ind w:left="380" w:hanging="330"/>
        <w:spacing w:after="0"/>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17" w:lineRule="exact"/>
        <w:rPr>
          <w:sz w:val="20"/>
          <w:szCs w:val="20"/>
          <w:color w:val="auto"/>
        </w:rPr>
      </w:pPr>
    </w:p>
    <w:p>
      <w:pPr>
        <w:ind w:left="380" w:right="239" w:hanging="330"/>
        <w:spacing w:after="0" w:line="256" w:lineRule="auto"/>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Furnished herewith. This certification is deemed furnished, and not filed, with the Securities and Exchange Commission and is not to be incorporated by reference into any filing of Harmony Biosciences Holdings,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7" w:lineRule="exact"/>
        <w:rPr>
          <w:sz w:val="20"/>
          <w:szCs w:val="20"/>
          <w:color w:val="auto"/>
        </w:rPr>
      </w:pPr>
    </w:p>
    <w:p>
      <w:pPr>
        <w:ind w:left="380" w:right="119" w:hanging="330"/>
        <w:spacing w:after="0" w:line="263" w:lineRule="auto"/>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Schedules have been omitted pursuant to Item 601(b)(2) of Regulation S-K. The Company hereby undertakes to furnish supplemental copies of any of the omitted schedules upon request by the SEC; provided, however, that the Company may request confidential treatment pursuant to Rule 24b-2 of the Securities Exchange Act of 1934 for any schedules so furnished.</w:t>
      </w:r>
    </w:p>
    <w:p>
      <w:pPr>
        <w:spacing w:after="0" w:line="173" w:lineRule="exact"/>
        <w:rPr>
          <w:sz w:val="20"/>
          <w:szCs w:val="20"/>
          <w:color w:val="auto"/>
        </w:rPr>
      </w:pPr>
    </w:p>
    <w:p>
      <w:pPr>
        <w:ind w:left="380" w:hanging="330"/>
        <w:spacing w:after="0"/>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339"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HARMONY BIOSCIENCES HOLDINGS, INC.</w:t>
      </w:r>
    </w:p>
    <w:p>
      <w:pPr>
        <w:spacing w:after="0" w:line="194" w:lineRule="exact"/>
        <w:rPr>
          <w:sz w:val="20"/>
          <w:szCs w:val="20"/>
          <w:color w:val="auto"/>
        </w:rPr>
      </w:pPr>
    </w:p>
    <w:tbl>
      <w:tblPr>
        <w:tblLayout w:type="fixed"/>
        <w:tblInd w:w="4520" w:type="dxa"/>
        <w:tblCellMar>
          <w:top w:w="0" w:type="dxa"/>
          <w:left w:w="0" w:type="dxa"/>
          <w:bottom w:w="0" w:type="dxa"/>
          <w:right w:w="0" w:type="dxa"/>
        </w:tblCellMar>
      </w:tblPr>
      <w:tr>
        <w:trPr>
          <w:trHeight w:val="219"/>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M. Dayno</w:t>
            </w:r>
          </w:p>
        </w:tc>
      </w:tr>
      <w:tr>
        <w:trPr>
          <w:trHeight w:val="184"/>
        </w:trPr>
        <w:tc>
          <w:tcPr>
            <w:tcW w:w="640" w:type="dxa"/>
            <w:vAlign w:val="bottom"/>
          </w:tcPr>
          <w:p>
            <w:pPr>
              <w:spacing w:after="0" w:line="183"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83" w:lineRule="exact"/>
              <w:rPr>
                <w:sz w:val="20"/>
                <w:szCs w:val="20"/>
                <w:color w:val="auto"/>
              </w:rPr>
            </w:pPr>
            <w:r>
              <w:rPr>
                <w:rFonts w:ascii="Arial" w:cs="Arial" w:eastAsia="Arial" w:hAnsi="Arial"/>
                <w:sz w:val="18"/>
                <w:szCs w:val="18"/>
                <w:color w:val="auto"/>
              </w:rPr>
              <w:t>Jeffrey M. Dayno</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64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(principal executive officer)</w:t>
            </w:r>
          </w:p>
        </w:tc>
      </w:t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May 6, 2025</w:t>
            </w:r>
          </w:p>
        </w:tc>
      </w:tr>
      <w:tr>
        <w:trPr>
          <w:trHeight w:val="381"/>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Sandip Kapadia</w:t>
            </w:r>
          </w:p>
        </w:tc>
      </w:tr>
      <w:tr>
        <w:trPr>
          <w:trHeight w:val="184"/>
        </w:trPr>
        <w:tc>
          <w:tcPr>
            <w:tcW w:w="640" w:type="dxa"/>
            <w:vAlign w:val="bottom"/>
          </w:tcPr>
          <w:p>
            <w:pPr>
              <w:spacing w:after="0" w:line="183"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83" w:lineRule="exact"/>
              <w:rPr>
                <w:sz w:val="20"/>
                <w:szCs w:val="20"/>
                <w:color w:val="auto"/>
              </w:rPr>
            </w:pPr>
            <w:r>
              <w:rPr>
                <w:rFonts w:ascii="Arial" w:cs="Arial" w:eastAsia="Arial" w:hAnsi="Arial"/>
                <w:sz w:val="18"/>
                <w:szCs w:val="18"/>
                <w:color w:val="auto"/>
              </w:rPr>
              <w:t>Sandip Kapadia</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Chief Financial Officer and Chief Administrative</w:t>
            </w:r>
          </w:p>
        </w:tc>
      </w:tr>
      <w:tr>
        <w:trPr>
          <w:trHeight w:val="203"/>
        </w:trPr>
        <w:tc>
          <w:tcPr>
            <w:tcW w:w="64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Officer (principal financial officer)</w:t>
            </w:r>
          </w:p>
        </w:tc>
      </w:t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May 6,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M. Dayno, certify that:</w:t>
      </w:r>
    </w:p>
    <w:p>
      <w:pPr>
        <w:spacing w:after="0" w:line="225" w:lineRule="exact"/>
        <w:rPr>
          <w:sz w:val="20"/>
          <w:szCs w:val="20"/>
          <w:color w:val="auto"/>
        </w:rPr>
      </w:pPr>
    </w:p>
    <w:p>
      <w:pPr>
        <w:ind w:left="700" w:hanging="341"/>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240" w:hanging="341"/>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6"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700" w:right="320" w:hanging="341"/>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20" w:right="340" w:hanging="359"/>
        <w:spacing w:after="0" w:line="266"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20" w:right="160" w:hanging="359"/>
        <w:spacing w:after="0" w:line="282"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0"/>
        <w:spacing w:after="0"/>
        <w:tabs>
          <w:tab w:leader="none" w:pos="4940" w:val="left"/>
          <w:tab w:leader="none" w:pos="552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M. Dayno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43180</wp:posOffset>
            </wp:positionV>
            <wp:extent cx="25546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Jeffrey M. Dayno</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5" w:name="page46"/>
    <w:bookmarkEnd w:id="45"/>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Sandip Kapadia, certify that:</w:t>
      </w:r>
    </w:p>
    <w:p>
      <w:pPr>
        <w:spacing w:after="0" w:line="225" w:lineRule="exact"/>
        <w:rPr>
          <w:sz w:val="20"/>
          <w:szCs w:val="20"/>
          <w:color w:val="auto"/>
        </w:rPr>
      </w:pPr>
    </w:p>
    <w:p>
      <w:pPr>
        <w:ind w:left="740" w:hanging="341"/>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40" w:right="40" w:hanging="341"/>
        <w:spacing w:after="0" w:line="266"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40" w:right="280" w:hanging="341"/>
        <w:spacing w:after="0" w:line="266"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right="40" w:hanging="341"/>
        <w:spacing w:after="0" w:line="266"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60" w:right="40" w:hanging="359"/>
        <w:spacing w:after="0" w:line="261" w:lineRule="auto"/>
        <w:tabs>
          <w:tab w:leader="none" w:pos="14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60" w:right="40" w:hanging="359"/>
        <w:spacing w:after="0" w:line="261" w:lineRule="auto"/>
        <w:tabs>
          <w:tab w:leader="none" w:pos="14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60" w:right="40" w:hanging="359"/>
        <w:spacing w:after="0" w:line="266" w:lineRule="auto"/>
        <w:tabs>
          <w:tab w:leader="none" w:pos="14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18"/>
          <w:szCs w:val="18"/>
          <w:color w:val="auto"/>
        </w:rPr>
      </w:pPr>
    </w:p>
    <w:p>
      <w:pPr>
        <w:jc w:val="both"/>
        <w:ind w:left="1460" w:right="40" w:hanging="359"/>
        <w:spacing w:after="0" w:line="260" w:lineRule="auto"/>
        <w:tabs>
          <w:tab w:leader="none" w:pos="14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that occurred during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most recent fiscal quarter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fourth fiscal quarter in the case of an annual report) that has materially affected, or is reasonably likely to materially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and</w:t>
      </w:r>
    </w:p>
    <w:p>
      <w:pPr>
        <w:spacing w:after="0" w:line="180" w:lineRule="exact"/>
        <w:rPr>
          <w:rFonts w:ascii="Times New Roman" w:cs="Times New Roman" w:eastAsia="Times New Roman" w:hAnsi="Times New Roman"/>
          <w:sz w:val="18"/>
          <w:szCs w:val="18"/>
          <w:color w:val="auto"/>
        </w:rPr>
      </w:pPr>
    </w:p>
    <w:p>
      <w:pPr>
        <w:ind w:left="740" w:right="380" w:hanging="341"/>
        <w:spacing w:after="0" w:line="265"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have disclosed, based on our most recent evaluation of internal control over financial reporting, to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auditors and the audit committee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(or persons performing the equivalent functions):</w:t>
      </w:r>
    </w:p>
    <w:p>
      <w:pPr>
        <w:spacing w:after="0" w:line="177" w:lineRule="exact"/>
        <w:rPr>
          <w:rFonts w:ascii="Times New Roman" w:cs="Times New Roman" w:eastAsia="Times New Roman" w:hAnsi="Times New Roman"/>
          <w:sz w:val="18"/>
          <w:szCs w:val="18"/>
          <w:color w:val="auto"/>
        </w:rPr>
      </w:pPr>
    </w:p>
    <w:p>
      <w:pPr>
        <w:ind w:left="1460" w:right="380" w:hanging="359"/>
        <w:spacing w:after="0" w:line="265" w:lineRule="auto"/>
        <w:tabs>
          <w:tab w:leader="none" w:pos="14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ability to record, process, summarize and report financial information; and</w:t>
      </w:r>
    </w:p>
    <w:p>
      <w:pPr>
        <w:spacing w:after="0" w:line="177" w:lineRule="exact"/>
        <w:rPr>
          <w:rFonts w:ascii="Times New Roman" w:cs="Times New Roman" w:eastAsia="Times New Roman" w:hAnsi="Times New Roman"/>
          <w:sz w:val="18"/>
          <w:szCs w:val="18"/>
          <w:color w:val="auto"/>
        </w:rPr>
      </w:pPr>
    </w:p>
    <w:p>
      <w:pPr>
        <w:ind w:left="1460" w:right="200" w:hanging="359"/>
        <w:spacing w:after="0" w:line="285" w:lineRule="auto"/>
        <w:tabs>
          <w:tab w:leader="none" w:pos="14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68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  /s/ Sandip Kapadia</w:t>
            </w:r>
          </w:p>
        </w:tc>
        <w:tc>
          <w:tcPr>
            <w:tcW w:w="40" w:type="dxa"/>
            <w:vAlign w:val="bottom"/>
          </w:tcPr>
          <w:p>
            <w:pPr>
              <w:spacing w:after="0"/>
              <w:rPr>
                <w:sz w:val="20"/>
                <w:szCs w:val="20"/>
                <w:color w:val="auto"/>
              </w:rPr>
            </w:pPr>
          </w:p>
        </w:tc>
      </w:tr>
      <w:tr>
        <w:trPr>
          <w:trHeight w:val="218"/>
        </w:trPr>
        <w:tc>
          <w:tcPr>
            <w:tcW w:w="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Sandip Kapadia</w:t>
            </w:r>
          </w:p>
        </w:tc>
        <w:tc>
          <w:tcPr>
            <w:tcW w:w="40" w:type="dxa"/>
            <w:vAlign w:val="bottom"/>
            <w:tcBorders>
              <w:top w:val="single" w:sz="8" w:color="auto"/>
            </w:tcBorders>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Administrative Officer</w:t>
            </w:r>
          </w:p>
        </w:tc>
        <w:tc>
          <w:tcPr>
            <w:tcW w:w="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40" w:type="dxa"/>
            <w:vAlign w:val="bottom"/>
          </w:tcPr>
          <w:p>
            <w:pPr>
              <w:spacing w:after="0"/>
              <w:rPr>
                <w:sz w:val="20"/>
                <w:szCs w:val="20"/>
                <w:color w:val="auto"/>
              </w:rPr>
            </w:pPr>
          </w:p>
        </w:tc>
      </w:tr>
      <w:tr>
        <w:trPr>
          <w:trHeight w:val="776"/>
        </w:trPr>
        <w:tc>
          <w:tcPr>
            <w:tcW w:w="4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000"/>
          </w:cols>
          <w:pgMar w:left="940" w:top="117" w:right="9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quarter ended March 31, 2025, as filed with the Securities and Exchange Commission on the date hereof (the “Report”), I certify, pursuant to 18 U.S.C. Section 1350, as adopted pursuant to Section 906 of the Sarbanes-Oxley Act of 2002, that to such officer’s knowledge:</w:t>
      </w:r>
    </w:p>
    <w:p>
      <w:pPr>
        <w:spacing w:after="0" w:line="160" w:lineRule="exact"/>
        <w:rPr>
          <w:sz w:val="20"/>
          <w:szCs w:val="20"/>
          <w:color w:val="auto"/>
        </w:rPr>
      </w:pPr>
    </w:p>
    <w:p>
      <w:pPr>
        <w:ind w:left="660" w:right="20" w:hanging="328"/>
        <w:spacing w:after="0" w:line="27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60"/>
        <w:spacing w:after="0"/>
        <w:tabs>
          <w:tab w:leader="none" w:pos="4240" w:val="left"/>
        </w:tabs>
        <w:rPr>
          <w:sz w:val="20"/>
          <w:szCs w:val="20"/>
          <w:color w:val="auto"/>
        </w:rPr>
      </w:pPr>
      <w:r>
        <w:rPr>
          <w:rFonts w:ascii="Arial" w:cs="Arial" w:eastAsia="Arial" w:hAnsi="Arial"/>
          <w:sz w:val="18"/>
          <w:szCs w:val="18"/>
          <w:color w:val="auto"/>
        </w:rPr>
        <w:t>Date: May 6, 2025</w:t>
      </w:r>
      <w:r>
        <w:rPr>
          <w:sz w:val="20"/>
          <w:szCs w:val="20"/>
          <w:color w:val="auto"/>
        </w:rPr>
        <w:tab/>
      </w:r>
      <w:r>
        <w:rPr>
          <w:rFonts w:ascii="Arial" w:cs="Arial" w:eastAsia="Arial" w:hAnsi="Arial"/>
          <w:sz w:val="18"/>
          <w:szCs w:val="18"/>
          <w:color w:val="auto"/>
        </w:rPr>
        <w:t>By: /s/ Jeffrey M. Dayno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34925</wp:posOffset>
            </wp:positionV>
            <wp:extent cx="25457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8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Jeffrey M. Dayno</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President, Chief Executive Officer and Director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5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500" w:firstLine="355"/>
        <w:spacing w:after="0" w:line="247"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period ended March 31, 2025, as filed with the Securities and Exchange Commission on the date hereof (the “Report”), I certify, pursuant to 18 U.S.C. Section 1350, as adopted pursuant to Section 906 of the Sarbanes-Oxley Act of 2002, that to such officer’s knowledge:</w:t>
      </w:r>
    </w:p>
    <w:p>
      <w:pPr>
        <w:spacing w:after="0" w:line="160" w:lineRule="exact"/>
        <w:rPr>
          <w:sz w:val="20"/>
          <w:szCs w:val="20"/>
          <w:color w:val="auto"/>
        </w:rPr>
      </w:pPr>
    </w:p>
    <w:p>
      <w:pPr>
        <w:ind w:left="700" w:right="220" w:hanging="341"/>
        <w:spacing w:after="0" w:line="271"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700" w:right="40" w:hanging="341"/>
        <w:spacing w:after="0" w:line="271"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940" w:type="dxa"/>
            <w:vAlign w:val="bottom"/>
            <w:vMerge w:val="restart"/>
          </w:tcPr>
          <w:p>
            <w:pPr>
              <w:spacing w:after="0"/>
              <w:rPr>
                <w:sz w:val="20"/>
                <w:szCs w:val="20"/>
                <w:color w:val="auto"/>
              </w:rPr>
            </w:pPr>
            <w:r>
              <w:rPr>
                <w:rFonts w:ascii="Arial" w:cs="Arial" w:eastAsia="Arial" w:hAnsi="Arial"/>
                <w:sz w:val="18"/>
                <w:szCs w:val="18"/>
                <w:color w:val="auto"/>
              </w:rPr>
              <w:t>Date: May 6, 2025</w:t>
            </w:r>
          </w:p>
        </w:tc>
        <w:tc>
          <w:tcPr>
            <w:tcW w:w="1780" w:type="dxa"/>
            <w:vAlign w:val="bottom"/>
          </w:tcPr>
          <w:p>
            <w:pPr>
              <w:ind w:left="1480"/>
              <w:spacing w:after="0"/>
              <w:rPr>
                <w:sz w:val="20"/>
                <w:szCs w:val="20"/>
                <w:color w:val="auto"/>
              </w:rPr>
            </w:pPr>
            <w:r>
              <w:rPr>
                <w:rFonts w:ascii="Arial" w:cs="Arial" w:eastAsia="Arial" w:hAnsi="Arial"/>
                <w:sz w:val="18"/>
                <w:szCs w:val="18"/>
                <w:color w:val="auto"/>
              </w:rPr>
              <w:t>By</w:t>
            </w:r>
          </w:p>
        </w:tc>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/s/ Sandip Kapadia</w:t>
            </w:r>
          </w:p>
        </w:tc>
        <w:tc>
          <w:tcPr>
            <w:tcW w:w="0" w:type="dxa"/>
            <w:vAlign w:val="bottom"/>
          </w:tcPr>
          <w:p>
            <w:pPr>
              <w:spacing w:after="0"/>
              <w:rPr>
                <w:sz w:val="1"/>
                <w:szCs w:val="1"/>
                <w:color w:val="auto"/>
              </w:rPr>
            </w:pPr>
          </w:p>
        </w:tc>
      </w:tr>
      <w:tr>
        <w:trPr>
          <w:trHeight w:val="194"/>
        </w:trPr>
        <w:tc>
          <w:tcPr>
            <w:tcW w:w="2940" w:type="dxa"/>
            <w:vAlign w:val="bottom"/>
            <w:vMerge w:val="continue"/>
          </w:tcPr>
          <w:p>
            <w:pPr>
              <w:spacing w:after="0"/>
              <w:rPr>
                <w:sz w:val="16"/>
                <w:szCs w:val="16"/>
                <w:color w:val="auto"/>
              </w:rPr>
            </w:pPr>
          </w:p>
        </w:tc>
        <w:tc>
          <w:tcPr>
            <w:tcW w:w="1780" w:type="dxa"/>
            <w:vAlign w:val="bottom"/>
          </w:tcPr>
          <w:p>
            <w:pPr>
              <w:ind w:left="1480"/>
              <w:spacing w:after="0" w:line="189" w:lineRule="exact"/>
              <w:rPr>
                <w:sz w:val="20"/>
                <w:szCs w:val="20"/>
                <w:color w:val="auto"/>
              </w:rPr>
            </w:pPr>
            <w:r>
              <w:rPr>
                <w:rFonts w:ascii="Arial" w:cs="Arial" w:eastAsia="Arial" w:hAnsi="Arial"/>
                <w:sz w:val="18"/>
                <w:szCs w:val="18"/>
                <w:color w:val="auto"/>
              </w:rPr>
              <w:t>:</w:t>
            </w:r>
          </w:p>
        </w:tc>
        <w:tc>
          <w:tcPr>
            <w:tcW w:w="4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2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Sandip Kapadia</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700" w:type="dxa"/>
            <w:vAlign w:val="bottom"/>
          </w:tcPr>
          <w:p>
            <w:pPr>
              <w:ind w:left="40"/>
              <w:spacing w:after="0" w:line="202" w:lineRule="exact"/>
              <w:rPr>
                <w:sz w:val="20"/>
                <w:szCs w:val="20"/>
                <w:color w:val="auto"/>
              </w:rPr>
            </w:pPr>
            <w:r>
              <w:rPr>
                <w:rFonts w:ascii="Arial" w:cs="Arial" w:eastAsia="Arial" w:hAnsi="Arial"/>
                <w:sz w:val="18"/>
                <w:szCs w:val="18"/>
                <w:color w:val="auto"/>
              </w:rPr>
              <w:t>Chief Financial Officer and Chief Administrative Officer</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(Principal Financial Officer and Principal Accounting</w:t>
            </w:r>
          </w:p>
        </w:tc>
        <w:tc>
          <w:tcPr>
            <w:tcW w:w="0" w:type="dxa"/>
            <w:vAlign w:val="bottom"/>
          </w:tcPr>
          <w:p>
            <w:pPr>
              <w:spacing w:after="0"/>
              <w:rPr>
                <w:sz w:val="1"/>
                <w:szCs w:val="1"/>
                <w:color w:val="auto"/>
              </w:rPr>
            </w:pPr>
          </w:p>
        </w:tc>
      </w:tr>
      <w:tr>
        <w:trPr>
          <w:trHeight w:val="239"/>
        </w:trPr>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40"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9"/>
    </w:lvl>
  </w:abstractNum>
  <w:abstractNum w:abstractNumId="6">
    <w:nsid w:val="7FDCC233"/>
    <w:multiLevelType w:val="hybridMultilevel"/>
    <w:lvl w:ilvl="0">
      <w:lvlJc w:val="left"/>
      <w:lvlText w:val="%1."/>
      <w:numFmt w:val="decimal"/>
      <w:start w:val="13"/>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4"/>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54" Type="http://schemas.openxmlformats.org/officeDocument/2006/relationships/hyperlink" Target="https://www.sec.gov/Archives/edgar/data/1802665/000114036123043963/ef20010653_ex2-1.htm" TargetMode="External"/><Relationship Id="rId55" Type="http://schemas.openxmlformats.org/officeDocument/2006/relationships/hyperlink" Target="https://www.sec.gov/Archives/edgar/data/0001802665/000119312520226978/d97999dex31.htm" TargetMode="External"/><Relationship Id="rId56" Type="http://schemas.openxmlformats.org/officeDocument/2006/relationships/hyperlink" Target="https://www.sec.gov/Archives/edgar/data/0001802665/000119312520226978/d97999dex32.htm" TargetMode="External"/><Relationship Id="rId57" Type="http://schemas.openxmlformats.org/officeDocument/2006/relationships/hyperlink" Target="https://www.sec.gov/Archives/edgar/data/1802665/000155837024006203/hrmy-20240331xex10d1.htm" TargetMode="External"/><Relationship Id="rId58" Type="http://schemas.openxmlformats.org/officeDocument/2006/relationships/hyperlink" Target="https://www.sec.gov/Archives/edgar/data/1802665/000155837024006203/hrmy-20240331xex10d2.htm" TargetMode="External"/><Relationship Id="rId59" Type="http://schemas.openxmlformats.org/officeDocument/2006/relationships/hyperlink" Target="https://www.sec.gov/Archives/edgar/data/1802665/000155837024006594/hrmy-20240501xex10d1.htm" TargetMode="External"/><Relationship Id="rId60" Type="http://schemas.openxmlformats.org/officeDocument/2006/relationships/hyperlink" Target="https://www.sec.gov/Archives/edgar/data/1802665/000155837025003502/hrmy-2025032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2025-05-06T07:23:22Z</dcterms:created>
  <dcterms:modified xsi:type="dcterms:W3CDTF">2025-05-06T07:23:22Z</dcterms:modified>
</cp:coreProperties>
</file>